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80C" w:rsidRPr="003C279D" w:rsidRDefault="002A6215" w:rsidP="00D5780C">
      <w:pPr>
        <w:rPr>
          <w:rFonts w:asciiTheme="majorHAnsi" w:hAnsiTheme="majorHAnsi"/>
          <w:b/>
          <w:sz w:val="24"/>
          <w:szCs w:val="24"/>
        </w:rPr>
      </w:pPr>
      <w:bookmarkStart w:id="0" w:name="_GoBack"/>
      <w:bookmarkEnd w:id="0"/>
      <w:r w:rsidRPr="00134766">
        <w:rPr>
          <w:rFonts w:asciiTheme="majorHAnsi" w:hAnsiTheme="majorHAnsi"/>
          <w:b/>
          <w:i/>
          <w:sz w:val="24"/>
          <w:szCs w:val="24"/>
        </w:rPr>
        <w:t>ME</w:t>
      </w:r>
      <w:r w:rsidR="00AD58EE" w:rsidRPr="00134766">
        <w:rPr>
          <w:rFonts w:asciiTheme="majorHAnsi" w:hAnsiTheme="majorHAnsi"/>
          <w:b/>
          <w:i/>
          <w:sz w:val="24"/>
          <w:szCs w:val="24"/>
        </w:rPr>
        <w:t>/CFS</w:t>
      </w:r>
      <w:r w:rsidRPr="00134766">
        <w:rPr>
          <w:rFonts w:asciiTheme="majorHAnsi" w:hAnsiTheme="majorHAnsi"/>
          <w:b/>
          <w:i/>
          <w:sz w:val="24"/>
          <w:szCs w:val="24"/>
        </w:rPr>
        <w:t xml:space="preserve"> ERISA </w:t>
      </w:r>
      <w:r w:rsidR="00250317" w:rsidRPr="00134766">
        <w:rPr>
          <w:rFonts w:asciiTheme="majorHAnsi" w:hAnsiTheme="majorHAnsi"/>
          <w:b/>
          <w:i/>
          <w:sz w:val="24"/>
          <w:szCs w:val="24"/>
        </w:rPr>
        <w:t xml:space="preserve">and Individual Disability </w:t>
      </w:r>
      <w:r w:rsidR="00712C3A" w:rsidRPr="00134766">
        <w:rPr>
          <w:rFonts w:asciiTheme="majorHAnsi" w:hAnsiTheme="majorHAnsi"/>
          <w:b/>
          <w:i/>
          <w:sz w:val="24"/>
          <w:szCs w:val="24"/>
        </w:rPr>
        <w:t xml:space="preserve">Income </w:t>
      </w:r>
      <w:r w:rsidR="009E0F78" w:rsidRPr="00134766">
        <w:rPr>
          <w:rFonts w:asciiTheme="majorHAnsi" w:hAnsiTheme="majorHAnsi"/>
          <w:b/>
          <w:i/>
          <w:sz w:val="24"/>
          <w:szCs w:val="24"/>
        </w:rPr>
        <w:t>Long Term Disability Insurance Claim</w:t>
      </w:r>
      <w:r w:rsidR="00712C3A" w:rsidRPr="00134766">
        <w:rPr>
          <w:rFonts w:asciiTheme="majorHAnsi" w:hAnsiTheme="majorHAnsi"/>
          <w:b/>
          <w:i/>
          <w:sz w:val="24"/>
          <w:szCs w:val="24"/>
        </w:rPr>
        <w:t>s</w:t>
      </w:r>
    </w:p>
    <w:p w:rsidR="00D5780C" w:rsidRPr="00134766" w:rsidRDefault="00D5780C" w:rsidP="00D5780C">
      <w:pPr>
        <w:rPr>
          <w:rFonts w:asciiTheme="majorHAnsi" w:hAnsiTheme="majorHAnsi"/>
          <w:b/>
          <w:i/>
          <w:sz w:val="24"/>
          <w:szCs w:val="24"/>
        </w:rPr>
      </w:pPr>
      <w:r w:rsidRPr="00134766">
        <w:rPr>
          <w:rFonts w:asciiTheme="majorHAnsi" w:hAnsiTheme="majorHAnsi"/>
          <w:b/>
          <w:i/>
          <w:sz w:val="24"/>
          <w:szCs w:val="24"/>
        </w:rPr>
        <w:t>By: Barbara B. Comerford, Esq.</w:t>
      </w:r>
      <w:r w:rsidR="00096B57" w:rsidRPr="00134766">
        <w:rPr>
          <w:rFonts w:asciiTheme="majorHAnsi" w:hAnsiTheme="majorHAnsi"/>
          <w:b/>
          <w:i/>
          <w:sz w:val="24"/>
          <w:szCs w:val="24"/>
        </w:rPr>
        <w:t>*</w:t>
      </w:r>
    </w:p>
    <w:p w:rsidR="007D1A7A" w:rsidRPr="00134766" w:rsidRDefault="00FF374E">
      <w:pPr>
        <w:rPr>
          <w:rFonts w:asciiTheme="majorHAnsi" w:hAnsiTheme="majorHAnsi"/>
          <w:sz w:val="24"/>
          <w:szCs w:val="24"/>
        </w:rPr>
      </w:pPr>
      <w:r w:rsidRPr="00134766">
        <w:rPr>
          <w:rFonts w:asciiTheme="majorHAnsi" w:hAnsiTheme="majorHAnsi"/>
          <w:sz w:val="24"/>
          <w:szCs w:val="24"/>
        </w:rPr>
        <w:t xml:space="preserve">This paper will focus on documenting disability in ME/CFS </w:t>
      </w:r>
      <w:r w:rsidR="004326B7" w:rsidRPr="00134766">
        <w:rPr>
          <w:rFonts w:asciiTheme="majorHAnsi" w:hAnsiTheme="majorHAnsi"/>
          <w:sz w:val="24"/>
          <w:szCs w:val="24"/>
        </w:rPr>
        <w:t xml:space="preserve">long term disability insurance </w:t>
      </w:r>
      <w:r w:rsidRPr="00134766">
        <w:rPr>
          <w:rFonts w:asciiTheme="majorHAnsi" w:hAnsiTheme="majorHAnsi"/>
          <w:sz w:val="24"/>
          <w:szCs w:val="24"/>
        </w:rPr>
        <w:t>cases</w:t>
      </w:r>
      <w:r w:rsidR="004326B7" w:rsidRPr="00134766">
        <w:rPr>
          <w:rFonts w:asciiTheme="majorHAnsi" w:hAnsiTheme="majorHAnsi"/>
          <w:sz w:val="24"/>
          <w:szCs w:val="24"/>
        </w:rPr>
        <w:t xml:space="preserve"> (LTD)</w:t>
      </w:r>
      <w:r w:rsidRPr="00134766">
        <w:rPr>
          <w:rFonts w:asciiTheme="majorHAnsi" w:hAnsiTheme="majorHAnsi"/>
          <w:sz w:val="24"/>
          <w:szCs w:val="24"/>
        </w:rPr>
        <w:t>.</w:t>
      </w:r>
      <w:r w:rsidR="004326B7" w:rsidRPr="00134766">
        <w:rPr>
          <w:rFonts w:asciiTheme="majorHAnsi" w:hAnsiTheme="majorHAnsi"/>
          <w:sz w:val="24"/>
          <w:szCs w:val="24"/>
        </w:rPr>
        <w:t xml:space="preserve"> But first, let me provide a g</w:t>
      </w:r>
      <w:r w:rsidR="007D1A7A" w:rsidRPr="00134766">
        <w:rPr>
          <w:rFonts w:asciiTheme="majorHAnsi" w:hAnsiTheme="majorHAnsi"/>
          <w:sz w:val="24"/>
          <w:szCs w:val="24"/>
        </w:rPr>
        <w:t xml:space="preserve">eneral background of </w:t>
      </w:r>
      <w:r w:rsidR="00EE04D2" w:rsidRPr="00134766">
        <w:rPr>
          <w:rFonts w:asciiTheme="majorHAnsi" w:hAnsiTheme="majorHAnsi"/>
          <w:sz w:val="24"/>
          <w:szCs w:val="24"/>
        </w:rPr>
        <w:t xml:space="preserve">the types of </w:t>
      </w:r>
      <w:r w:rsidR="007D1A7A" w:rsidRPr="00134766">
        <w:rPr>
          <w:rFonts w:asciiTheme="majorHAnsi" w:hAnsiTheme="majorHAnsi"/>
          <w:sz w:val="24"/>
          <w:szCs w:val="24"/>
        </w:rPr>
        <w:t>long term disability insurance claims</w:t>
      </w:r>
      <w:r w:rsidR="00EE04D2" w:rsidRPr="00134766">
        <w:rPr>
          <w:rFonts w:asciiTheme="majorHAnsi" w:hAnsiTheme="majorHAnsi"/>
          <w:sz w:val="24"/>
          <w:szCs w:val="24"/>
        </w:rPr>
        <w:t xml:space="preserve"> and common features of each</w:t>
      </w:r>
      <w:r w:rsidR="007D1A7A" w:rsidRPr="00134766">
        <w:rPr>
          <w:rFonts w:asciiTheme="majorHAnsi" w:hAnsiTheme="majorHAnsi"/>
          <w:sz w:val="24"/>
          <w:szCs w:val="24"/>
        </w:rPr>
        <w:t>.</w:t>
      </w:r>
    </w:p>
    <w:p w:rsidR="00EE04D2" w:rsidRPr="00134766" w:rsidRDefault="00EE04D2" w:rsidP="00EE04D2">
      <w:pPr>
        <w:pStyle w:val="NormalWeb"/>
        <w:rPr>
          <w:rFonts w:asciiTheme="majorHAnsi" w:hAnsiTheme="majorHAnsi"/>
          <w:b/>
          <w:i/>
          <w:u w:val="single"/>
        </w:rPr>
      </w:pPr>
      <w:r w:rsidRPr="00134766">
        <w:rPr>
          <w:rFonts w:asciiTheme="majorHAnsi" w:hAnsiTheme="majorHAnsi"/>
          <w:b/>
          <w:i/>
          <w:u w:val="single"/>
        </w:rPr>
        <w:t>ERISA LTD PLANS:</w:t>
      </w:r>
    </w:p>
    <w:p w:rsidR="00EE04D2" w:rsidRPr="00134766" w:rsidRDefault="00EE04D2" w:rsidP="00EE04D2">
      <w:pPr>
        <w:pStyle w:val="NormalWeb"/>
        <w:rPr>
          <w:rFonts w:asciiTheme="majorHAnsi" w:hAnsiTheme="majorHAnsi"/>
        </w:rPr>
      </w:pPr>
      <w:r w:rsidRPr="00134766">
        <w:rPr>
          <w:rFonts w:asciiTheme="majorHAnsi" w:hAnsiTheme="majorHAnsi"/>
        </w:rPr>
        <w:t xml:space="preserve">ERISA is an acronym for the Employee Retirement Income Security Act of 1974, 29 U.S.C. §1001, </w:t>
      </w:r>
      <w:r w:rsidRPr="00134766">
        <w:rPr>
          <w:rFonts w:asciiTheme="majorHAnsi" w:hAnsiTheme="majorHAnsi"/>
          <w:u w:val="single"/>
        </w:rPr>
        <w:t xml:space="preserve">et. </w:t>
      </w:r>
      <w:proofErr w:type="gramStart"/>
      <w:r w:rsidRPr="00134766">
        <w:rPr>
          <w:rFonts w:asciiTheme="majorHAnsi" w:hAnsiTheme="majorHAnsi"/>
          <w:u w:val="single"/>
        </w:rPr>
        <w:t>seq</w:t>
      </w:r>
      <w:r w:rsidRPr="00134766">
        <w:rPr>
          <w:rFonts w:asciiTheme="majorHAnsi" w:hAnsiTheme="majorHAnsi"/>
        </w:rPr>
        <w:t>,.</w:t>
      </w:r>
      <w:proofErr w:type="gramEnd"/>
      <w:r w:rsidRPr="00134766">
        <w:rPr>
          <w:rFonts w:asciiTheme="majorHAnsi" w:hAnsiTheme="majorHAnsi"/>
        </w:rPr>
        <w:t xml:space="preserve"> ERISA governs the administration of employee benefit plans and the rights of beneficiaries under those plans. </w:t>
      </w:r>
    </w:p>
    <w:p w:rsidR="00EE04D2" w:rsidRPr="00134766" w:rsidRDefault="00EE04D2" w:rsidP="00EE04D2">
      <w:pPr>
        <w:pStyle w:val="NormalWeb"/>
        <w:ind w:left="720"/>
        <w:rPr>
          <w:rFonts w:asciiTheme="majorHAnsi" w:hAnsiTheme="majorHAnsi"/>
          <w:b/>
          <w:i/>
          <w:u w:val="single"/>
        </w:rPr>
      </w:pPr>
      <w:r w:rsidRPr="00134766">
        <w:rPr>
          <w:rFonts w:asciiTheme="majorHAnsi" w:hAnsiTheme="majorHAnsi"/>
          <w:b/>
        </w:rPr>
        <w:t>Certain plans are exempt from ERISA including:</w:t>
      </w:r>
    </w:p>
    <w:p w:rsidR="00EE04D2" w:rsidRPr="00134766" w:rsidRDefault="00EE04D2" w:rsidP="00EE04D2">
      <w:pPr>
        <w:pStyle w:val="ListParagraph"/>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134766">
        <w:rPr>
          <w:rFonts w:asciiTheme="majorHAnsi" w:eastAsia="Times New Roman" w:hAnsiTheme="majorHAnsi" w:cs="Times New Roman"/>
          <w:sz w:val="24"/>
          <w:szCs w:val="24"/>
        </w:rPr>
        <w:t xml:space="preserve">Federal, state, or local government plans, including plans of certain international organizations. </w:t>
      </w:r>
    </w:p>
    <w:p w:rsidR="00EE04D2" w:rsidRPr="00134766" w:rsidRDefault="00EE04D2" w:rsidP="00EE04D2">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134766">
        <w:rPr>
          <w:rFonts w:asciiTheme="majorHAnsi" w:eastAsia="Times New Roman" w:hAnsiTheme="majorHAnsi" w:cs="Times New Roman"/>
          <w:sz w:val="24"/>
          <w:szCs w:val="24"/>
        </w:rPr>
        <w:t xml:space="preserve">Certain church or church association plans. </w:t>
      </w:r>
    </w:p>
    <w:p w:rsidR="00EE04D2" w:rsidRPr="00134766" w:rsidRDefault="00EE04D2" w:rsidP="00EE04D2">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134766">
        <w:rPr>
          <w:rFonts w:asciiTheme="majorHAnsi" w:eastAsia="Times New Roman" w:hAnsiTheme="majorHAnsi" w:cs="Times New Roman"/>
          <w:sz w:val="24"/>
          <w:szCs w:val="24"/>
        </w:rPr>
        <w:t xml:space="preserve">Plans maintained solely to comply with state workers' compensation, unemployment compensation or disability insurance laws. </w:t>
      </w:r>
    </w:p>
    <w:p w:rsidR="00EE04D2" w:rsidRPr="00134766" w:rsidRDefault="00EE04D2" w:rsidP="00EE04D2">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134766">
        <w:rPr>
          <w:rFonts w:asciiTheme="majorHAnsi" w:eastAsia="Times New Roman" w:hAnsiTheme="majorHAnsi" w:cs="Times New Roman"/>
          <w:sz w:val="24"/>
          <w:szCs w:val="24"/>
        </w:rPr>
        <w:t xml:space="preserve">Plans maintained outside the United States primarily for non-resident aliens. </w:t>
      </w:r>
    </w:p>
    <w:p w:rsidR="00EE04D2" w:rsidRPr="00134766" w:rsidRDefault="00EE04D2" w:rsidP="00EE04D2">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134766">
        <w:rPr>
          <w:rFonts w:asciiTheme="majorHAnsi" w:eastAsia="Times New Roman" w:hAnsiTheme="majorHAnsi" w:cs="Times New Roman"/>
          <w:sz w:val="24"/>
          <w:szCs w:val="24"/>
        </w:rPr>
        <w:t xml:space="preserve">Unfunded excess benefit plans - plans maintained solely to provide benefits or contributions </w:t>
      </w:r>
      <w:proofErr w:type="gramStart"/>
      <w:r w:rsidRPr="00134766">
        <w:rPr>
          <w:rFonts w:asciiTheme="majorHAnsi" w:eastAsia="Times New Roman" w:hAnsiTheme="majorHAnsi" w:cs="Times New Roman"/>
          <w:sz w:val="24"/>
          <w:szCs w:val="24"/>
        </w:rPr>
        <w:t>in excess of</w:t>
      </w:r>
      <w:proofErr w:type="gramEnd"/>
      <w:r w:rsidRPr="00134766">
        <w:rPr>
          <w:rFonts w:asciiTheme="majorHAnsi" w:eastAsia="Times New Roman" w:hAnsiTheme="majorHAnsi" w:cs="Times New Roman"/>
          <w:sz w:val="24"/>
          <w:szCs w:val="24"/>
        </w:rPr>
        <w:t xml:space="preserve"> those allowable for tax-qualified plans. </w:t>
      </w:r>
      <w:r w:rsidRPr="00134766">
        <w:rPr>
          <w:rStyle w:val="EndnoteReference"/>
          <w:rFonts w:asciiTheme="majorHAnsi" w:eastAsia="Times New Roman" w:hAnsiTheme="majorHAnsi" w:cs="Times New Roman"/>
          <w:sz w:val="24"/>
          <w:szCs w:val="24"/>
        </w:rPr>
        <w:endnoteReference w:id="1"/>
      </w:r>
    </w:p>
    <w:p w:rsidR="00AE2062" w:rsidRPr="00134766" w:rsidRDefault="0067464C">
      <w:pPr>
        <w:rPr>
          <w:rFonts w:asciiTheme="majorHAnsi" w:hAnsiTheme="majorHAnsi"/>
          <w:sz w:val="24"/>
          <w:szCs w:val="24"/>
        </w:rPr>
      </w:pPr>
      <w:r w:rsidRPr="00134766">
        <w:rPr>
          <w:rFonts w:asciiTheme="majorHAnsi" w:hAnsiTheme="majorHAnsi"/>
          <w:sz w:val="24"/>
          <w:szCs w:val="24"/>
        </w:rPr>
        <w:t>Many corporate</w:t>
      </w:r>
      <w:r w:rsidR="00DC4B0F" w:rsidRPr="00134766">
        <w:rPr>
          <w:rFonts w:asciiTheme="majorHAnsi" w:hAnsiTheme="majorHAnsi"/>
          <w:sz w:val="24"/>
          <w:szCs w:val="24"/>
        </w:rPr>
        <w:t xml:space="preserve"> </w:t>
      </w:r>
      <w:r w:rsidR="007D1A7A" w:rsidRPr="00134766">
        <w:rPr>
          <w:rFonts w:asciiTheme="majorHAnsi" w:hAnsiTheme="majorHAnsi"/>
          <w:sz w:val="24"/>
          <w:szCs w:val="24"/>
        </w:rPr>
        <w:t xml:space="preserve">and other private </w:t>
      </w:r>
      <w:r w:rsidR="00DC4B0F" w:rsidRPr="00134766">
        <w:rPr>
          <w:rFonts w:asciiTheme="majorHAnsi" w:hAnsiTheme="majorHAnsi"/>
          <w:sz w:val="24"/>
          <w:szCs w:val="24"/>
        </w:rPr>
        <w:t>employers</w:t>
      </w:r>
      <w:r w:rsidRPr="00134766">
        <w:rPr>
          <w:rFonts w:asciiTheme="majorHAnsi" w:hAnsiTheme="majorHAnsi"/>
          <w:sz w:val="24"/>
          <w:szCs w:val="24"/>
        </w:rPr>
        <w:t xml:space="preserve"> </w:t>
      </w:r>
      <w:r w:rsidR="006B2AC2" w:rsidRPr="00134766">
        <w:rPr>
          <w:rFonts w:asciiTheme="majorHAnsi" w:hAnsiTheme="majorHAnsi"/>
          <w:sz w:val="24"/>
          <w:szCs w:val="24"/>
        </w:rPr>
        <w:t>offer short and</w:t>
      </w:r>
      <w:r w:rsidR="00DB4B76" w:rsidRPr="00134766">
        <w:rPr>
          <w:rFonts w:asciiTheme="majorHAnsi" w:hAnsiTheme="majorHAnsi"/>
          <w:sz w:val="24"/>
          <w:szCs w:val="24"/>
        </w:rPr>
        <w:t xml:space="preserve"> </w:t>
      </w:r>
      <w:r w:rsidR="006B2AC2" w:rsidRPr="00134766">
        <w:rPr>
          <w:rFonts w:asciiTheme="majorHAnsi" w:hAnsiTheme="majorHAnsi"/>
          <w:sz w:val="24"/>
          <w:szCs w:val="24"/>
        </w:rPr>
        <w:t>long</w:t>
      </w:r>
      <w:r w:rsidR="00B044E8">
        <w:rPr>
          <w:rFonts w:asciiTheme="majorHAnsi" w:hAnsiTheme="majorHAnsi"/>
          <w:sz w:val="24"/>
          <w:szCs w:val="24"/>
        </w:rPr>
        <w:t>-</w:t>
      </w:r>
      <w:r w:rsidR="006B2AC2" w:rsidRPr="00134766">
        <w:rPr>
          <w:rFonts w:asciiTheme="majorHAnsi" w:hAnsiTheme="majorHAnsi"/>
          <w:sz w:val="24"/>
          <w:szCs w:val="24"/>
        </w:rPr>
        <w:t xml:space="preserve">term disability </w:t>
      </w:r>
      <w:r w:rsidR="003E6749" w:rsidRPr="00134766">
        <w:rPr>
          <w:rFonts w:asciiTheme="majorHAnsi" w:hAnsiTheme="majorHAnsi"/>
          <w:sz w:val="24"/>
          <w:szCs w:val="24"/>
        </w:rPr>
        <w:t xml:space="preserve">insurance </w:t>
      </w:r>
      <w:r w:rsidR="00FE7774" w:rsidRPr="00134766">
        <w:rPr>
          <w:rFonts w:asciiTheme="majorHAnsi" w:hAnsiTheme="majorHAnsi"/>
          <w:sz w:val="24"/>
          <w:szCs w:val="24"/>
        </w:rPr>
        <w:t>coverage</w:t>
      </w:r>
      <w:r w:rsidR="006B2AC2" w:rsidRPr="00134766">
        <w:rPr>
          <w:rFonts w:asciiTheme="majorHAnsi" w:hAnsiTheme="majorHAnsi"/>
          <w:sz w:val="24"/>
          <w:szCs w:val="24"/>
        </w:rPr>
        <w:t xml:space="preserve"> to eligible employees as part of an</w:t>
      </w:r>
      <w:r w:rsidR="00DB4B76" w:rsidRPr="00134766">
        <w:rPr>
          <w:rFonts w:asciiTheme="majorHAnsi" w:hAnsiTheme="majorHAnsi"/>
          <w:sz w:val="24"/>
          <w:szCs w:val="24"/>
        </w:rPr>
        <w:t xml:space="preserve"> </w:t>
      </w:r>
      <w:r w:rsidR="006B2AC2" w:rsidRPr="00134766">
        <w:rPr>
          <w:rFonts w:asciiTheme="majorHAnsi" w:hAnsiTheme="majorHAnsi"/>
          <w:sz w:val="24"/>
          <w:szCs w:val="24"/>
        </w:rPr>
        <w:t>ERISA</w:t>
      </w:r>
      <w:r w:rsidRPr="00134766">
        <w:rPr>
          <w:rFonts w:asciiTheme="majorHAnsi" w:hAnsiTheme="majorHAnsi"/>
          <w:sz w:val="24"/>
          <w:szCs w:val="24"/>
        </w:rPr>
        <w:t xml:space="preserve"> welfare benefit plan</w:t>
      </w:r>
      <w:r w:rsidR="006B2AC2" w:rsidRPr="00134766">
        <w:rPr>
          <w:rFonts w:asciiTheme="majorHAnsi" w:hAnsiTheme="majorHAnsi"/>
          <w:sz w:val="24"/>
          <w:szCs w:val="24"/>
        </w:rPr>
        <w:t xml:space="preserve">. </w:t>
      </w:r>
      <w:r w:rsidR="004326B7" w:rsidRPr="00134766">
        <w:rPr>
          <w:rFonts w:asciiTheme="majorHAnsi" w:hAnsiTheme="majorHAnsi"/>
          <w:sz w:val="24"/>
          <w:szCs w:val="24"/>
        </w:rPr>
        <w:t>The LTD Plan provides a percentage of pre-disability income in the event the worker becomes disabled. ERISA LTD</w:t>
      </w:r>
      <w:r w:rsidR="006B2AC2" w:rsidRPr="00134766">
        <w:rPr>
          <w:rFonts w:asciiTheme="majorHAnsi" w:hAnsiTheme="majorHAnsi"/>
          <w:sz w:val="24"/>
          <w:szCs w:val="24"/>
        </w:rPr>
        <w:t xml:space="preserve"> </w:t>
      </w:r>
      <w:r w:rsidR="00A111CA" w:rsidRPr="00134766">
        <w:rPr>
          <w:rFonts w:asciiTheme="majorHAnsi" w:hAnsiTheme="majorHAnsi"/>
          <w:sz w:val="24"/>
          <w:szCs w:val="24"/>
        </w:rPr>
        <w:t>p</w:t>
      </w:r>
      <w:r w:rsidR="006B2AC2" w:rsidRPr="00134766">
        <w:rPr>
          <w:rFonts w:asciiTheme="majorHAnsi" w:hAnsiTheme="majorHAnsi"/>
          <w:sz w:val="24"/>
          <w:szCs w:val="24"/>
        </w:rPr>
        <w:t>lans</w:t>
      </w:r>
      <w:r w:rsidR="00CD6508" w:rsidRPr="00134766">
        <w:rPr>
          <w:rFonts w:asciiTheme="majorHAnsi" w:hAnsiTheme="majorHAnsi"/>
          <w:sz w:val="24"/>
          <w:szCs w:val="24"/>
        </w:rPr>
        <w:t xml:space="preserve"> are governed by </w:t>
      </w:r>
      <w:r w:rsidR="006B2AC2" w:rsidRPr="00134766">
        <w:rPr>
          <w:rFonts w:asciiTheme="majorHAnsi" w:hAnsiTheme="majorHAnsi"/>
          <w:sz w:val="24"/>
          <w:szCs w:val="24"/>
        </w:rPr>
        <w:t>regulations issued by the U.S. Department of Labor (DOL)</w:t>
      </w:r>
      <w:r w:rsidR="00CD6508" w:rsidRPr="00134766">
        <w:rPr>
          <w:rFonts w:asciiTheme="majorHAnsi" w:hAnsiTheme="majorHAnsi"/>
          <w:sz w:val="24"/>
          <w:szCs w:val="24"/>
        </w:rPr>
        <w:t>, Employee Benefits Security Administration</w:t>
      </w:r>
      <w:r w:rsidR="006B2AC2" w:rsidRPr="00134766">
        <w:rPr>
          <w:rFonts w:asciiTheme="majorHAnsi" w:hAnsiTheme="majorHAnsi"/>
          <w:sz w:val="24"/>
          <w:szCs w:val="24"/>
        </w:rPr>
        <w:t xml:space="preserve">. </w:t>
      </w:r>
      <w:r w:rsidR="00DB4B76" w:rsidRPr="00134766">
        <w:rPr>
          <w:rFonts w:asciiTheme="majorHAnsi" w:hAnsiTheme="majorHAnsi"/>
          <w:sz w:val="24"/>
          <w:szCs w:val="24"/>
        </w:rPr>
        <w:t xml:space="preserve">ERISA </w:t>
      </w:r>
      <w:r w:rsidR="003E6749" w:rsidRPr="00134766">
        <w:rPr>
          <w:rFonts w:asciiTheme="majorHAnsi" w:hAnsiTheme="majorHAnsi"/>
          <w:sz w:val="24"/>
          <w:szCs w:val="24"/>
        </w:rPr>
        <w:t>w</w:t>
      </w:r>
      <w:r w:rsidR="00DB4B76" w:rsidRPr="00134766">
        <w:rPr>
          <w:rFonts w:asciiTheme="majorHAnsi" w:hAnsiTheme="majorHAnsi"/>
          <w:sz w:val="24"/>
          <w:szCs w:val="24"/>
        </w:rPr>
        <w:t xml:space="preserve">elfare benefit plans </w:t>
      </w:r>
      <w:r w:rsidR="003E6749" w:rsidRPr="00134766">
        <w:rPr>
          <w:rFonts w:asciiTheme="majorHAnsi" w:hAnsiTheme="majorHAnsi"/>
          <w:sz w:val="24"/>
          <w:szCs w:val="24"/>
        </w:rPr>
        <w:t>include</w:t>
      </w:r>
      <w:r w:rsidR="00096B57" w:rsidRPr="00134766">
        <w:rPr>
          <w:rFonts w:asciiTheme="majorHAnsi" w:hAnsiTheme="majorHAnsi"/>
          <w:sz w:val="24"/>
          <w:szCs w:val="24"/>
        </w:rPr>
        <w:t xml:space="preserve"> health, disability, life insurance, </w:t>
      </w:r>
      <w:proofErr w:type="gramStart"/>
      <w:r w:rsidR="00096B57" w:rsidRPr="00134766">
        <w:rPr>
          <w:rFonts w:asciiTheme="majorHAnsi" w:hAnsiTheme="majorHAnsi"/>
          <w:sz w:val="24"/>
          <w:szCs w:val="24"/>
        </w:rPr>
        <w:t>etc.,</w:t>
      </w:r>
      <w:r w:rsidR="00EE04D2" w:rsidRPr="00134766">
        <w:rPr>
          <w:rFonts w:asciiTheme="majorHAnsi" w:hAnsiTheme="majorHAnsi"/>
          <w:sz w:val="24"/>
          <w:szCs w:val="24"/>
        </w:rPr>
        <w:t>.</w:t>
      </w:r>
      <w:proofErr w:type="gramEnd"/>
      <w:r w:rsidR="00EE04D2" w:rsidRPr="00134766">
        <w:rPr>
          <w:rFonts w:asciiTheme="majorHAnsi" w:hAnsiTheme="majorHAnsi"/>
          <w:sz w:val="24"/>
          <w:szCs w:val="24"/>
        </w:rPr>
        <w:t xml:space="preserve"> </w:t>
      </w:r>
    </w:p>
    <w:p w:rsidR="00BF40E4" w:rsidRPr="00134766" w:rsidRDefault="00BF40E4">
      <w:pPr>
        <w:rPr>
          <w:rFonts w:asciiTheme="majorHAnsi" w:hAnsiTheme="majorHAnsi"/>
          <w:sz w:val="24"/>
          <w:szCs w:val="24"/>
        </w:rPr>
      </w:pPr>
      <w:r w:rsidRPr="00134766">
        <w:rPr>
          <w:rFonts w:asciiTheme="majorHAnsi" w:hAnsiTheme="majorHAnsi"/>
          <w:sz w:val="24"/>
          <w:szCs w:val="24"/>
        </w:rPr>
        <w:t>For the short</w:t>
      </w:r>
      <w:r w:rsidR="00B044E8">
        <w:rPr>
          <w:rFonts w:asciiTheme="majorHAnsi" w:hAnsiTheme="majorHAnsi"/>
          <w:sz w:val="24"/>
          <w:szCs w:val="24"/>
        </w:rPr>
        <w:t>-</w:t>
      </w:r>
      <w:r w:rsidRPr="00134766">
        <w:rPr>
          <w:rFonts w:asciiTheme="majorHAnsi" w:hAnsiTheme="majorHAnsi"/>
          <w:sz w:val="24"/>
          <w:szCs w:val="24"/>
        </w:rPr>
        <w:t>term disability</w:t>
      </w:r>
      <w:r w:rsidR="00A85F80">
        <w:rPr>
          <w:rFonts w:asciiTheme="majorHAnsi" w:hAnsiTheme="majorHAnsi"/>
          <w:sz w:val="24"/>
          <w:szCs w:val="24"/>
        </w:rPr>
        <w:t xml:space="preserve"> (</w:t>
      </w:r>
      <w:r w:rsidR="004326B7" w:rsidRPr="00134766">
        <w:rPr>
          <w:rFonts w:asciiTheme="majorHAnsi" w:hAnsiTheme="majorHAnsi"/>
          <w:sz w:val="24"/>
          <w:szCs w:val="24"/>
        </w:rPr>
        <w:t>STD</w:t>
      </w:r>
      <w:r w:rsidR="00A85F80">
        <w:rPr>
          <w:rFonts w:asciiTheme="majorHAnsi" w:hAnsiTheme="majorHAnsi"/>
          <w:sz w:val="24"/>
          <w:szCs w:val="24"/>
        </w:rPr>
        <w:t>)</w:t>
      </w:r>
      <w:r w:rsidR="004326B7" w:rsidRPr="00134766">
        <w:rPr>
          <w:rFonts w:asciiTheme="majorHAnsi" w:hAnsiTheme="majorHAnsi"/>
          <w:sz w:val="24"/>
          <w:szCs w:val="24"/>
        </w:rPr>
        <w:t xml:space="preserve"> </w:t>
      </w:r>
      <w:r w:rsidRPr="00134766">
        <w:rPr>
          <w:rFonts w:asciiTheme="majorHAnsi" w:hAnsiTheme="majorHAnsi"/>
          <w:sz w:val="24"/>
          <w:szCs w:val="24"/>
        </w:rPr>
        <w:t>period, the</w:t>
      </w:r>
      <w:r w:rsidR="00FE7774" w:rsidRPr="00134766">
        <w:rPr>
          <w:rFonts w:asciiTheme="majorHAnsi" w:hAnsiTheme="majorHAnsi"/>
          <w:sz w:val="24"/>
          <w:szCs w:val="24"/>
        </w:rPr>
        <w:t xml:space="preserve"> employer may simply purchase a disability insurance policy to cover employees who become disabled for a </w:t>
      </w:r>
      <w:r w:rsidRPr="00134766">
        <w:rPr>
          <w:rFonts w:asciiTheme="majorHAnsi" w:hAnsiTheme="majorHAnsi"/>
          <w:sz w:val="24"/>
          <w:szCs w:val="24"/>
        </w:rPr>
        <w:t>limited initial period</w:t>
      </w:r>
      <w:r w:rsidR="00FE7774" w:rsidRPr="00134766">
        <w:rPr>
          <w:rFonts w:asciiTheme="majorHAnsi" w:hAnsiTheme="majorHAnsi"/>
          <w:sz w:val="24"/>
          <w:szCs w:val="24"/>
        </w:rPr>
        <w:t xml:space="preserve"> or they may offer</w:t>
      </w:r>
      <w:r w:rsidR="00AE2062" w:rsidRPr="00134766">
        <w:rPr>
          <w:rFonts w:asciiTheme="majorHAnsi" w:hAnsiTheme="majorHAnsi"/>
          <w:sz w:val="24"/>
          <w:szCs w:val="24"/>
        </w:rPr>
        <w:t xml:space="preserve"> self-funded</w:t>
      </w:r>
      <w:r w:rsidR="00FE7774" w:rsidRPr="00134766">
        <w:rPr>
          <w:rFonts w:asciiTheme="majorHAnsi" w:hAnsiTheme="majorHAnsi"/>
          <w:sz w:val="24"/>
          <w:szCs w:val="24"/>
        </w:rPr>
        <w:t xml:space="preserve"> salary continuation for </w:t>
      </w:r>
      <w:r w:rsidRPr="00134766">
        <w:rPr>
          <w:rFonts w:asciiTheme="majorHAnsi" w:hAnsiTheme="majorHAnsi"/>
          <w:sz w:val="24"/>
          <w:szCs w:val="24"/>
        </w:rPr>
        <w:t xml:space="preserve">that </w:t>
      </w:r>
      <w:r w:rsidR="00FE7774" w:rsidRPr="00134766">
        <w:rPr>
          <w:rFonts w:asciiTheme="majorHAnsi" w:hAnsiTheme="majorHAnsi"/>
          <w:sz w:val="24"/>
          <w:szCs w:val="24"/>
        </w:rPr>
        <w:t xml:space="preserve">period, or </w:t>
      </w:r>
      <w:r w:rsidRPr="00134766">
        <w:rPr>
          <w:rFonts w:asciiTheme="majorHAnsi" w:hAnsiTheme="majorHAnsi"/>
          <w:sz w:val="24"/>
          <w:szCs w:val="24"/>
        </w:rPr>
        <w:t>sometimes</w:t>
      </w:r>
      <w:r w:rsidR="00FE7774" w:rsidRPr="00134766">
        <w:rPr>
          <w:rFonts w:asciiTheme="majorHAnsi" w:hAnsiTheme="majorHAnsi"/>
          <w:sz w:val="24"/>
          <w:szCs w:val="24"/>
        </w:rPr>
        <w:t xml:space="preserve"> a combination of both. </w:t>
      </w:r>
      <w:r w:rsidR="004326B7" w:rsidRPr="00134766">
        <w:rPr>
          <w:rFonts w:asciiTheme="majorHAnsi" w:hAnsiTheme="majorHAnsi"/>
          <w:sz w:val="24"/>
          <w:szCs w:val="24"/>
        </w:rPr>
        <w:t>S</w:t>
      </w:r>
      <w:r w:rsidR="00B044E8">
        <w:rPr>
          <w:rFonts w:asciiTheme="majorHAnsi" w:hAnsiTheme="majorHAnsi"/>
          <w:sz w:val="24"/>
          <w:szCs w:val="24"/>
        </w:rPr>
        <w:t>trictly s</w:t>
      </w:r>
      <w:r w:rsidR="004326B7" w:rsidRPr="00134766">
        <w:rPr>
          <w:rFonts w:asciiTheme="majorHAnsi" w:hAnsiTheme="majorHAnsi"/>
          <w:sz w:val="24"/>
          <w:szCs w:val="24"/>
        </w:rPr>
        <w:t>alary continuation STD is not governed by ERISA.</w:t>
      </w:r>
    </w:p>
    <w:p w:rsidR="00FE7774" w:rsidRPr="00134766" w:rsidRDefault="00FE7774">
      <w:pPr>
        <w:rPr>
          <w:rFonts w:asciiTheme="majorHAnsi" w:hAnsiTheme="majorHAnsi"/>
          <w:sz w:val="24"/>
          <w:szCs w:val="24"/>
        </w:rPr>
      </w:pPr>
      <w:r w:rsidRPr="00134766">
        <w:rPr>
          <w:rFonts w:asciiTheme="majorHAnsi" w:hAnsiTheme="majorHAnsi"/>
          <w:sz w:val="24"/>
          <w:szCs w:val="24"/>
        </w:rPr>
        <w:t>An employer may also self</w:t>
      </w:r>
      <w:r w:rsidR="00AE2062" w:rsidRPr="00134766">
        <w:rPr>
          <w:rFonts w:asciiTheme="majorHAnsi" w:hAnsiTheme="majorHAnsi"/>
          <w:sz w:val="24"/>
          <w:szCs w:val="24"/>
        </w:rPr>
        <w:t>-</w:t>
      </w:r>
      <w:r w:rsidRPr="00134766">
        <w:rPr>
          <w:rFonts w:asciiTheme="majorHAnsi" w:hAnsiTheme="majorHAnsi"/>
          <w:sz w:val="24"/>
          <w:szCs w:val="24"/>
        </w:rPr>
        <w:t>fund long term disability insurance benefits offered to employees through a trust or other instrument, but more commonly,</w:t>
      </w:r>
      <w:r w:rsidR="00AE2062" w:rsidRPr="00134766">
        <w:rPr>
          <w:rFonts w:asciiTheme="majorHAnsi" w:hAnsiTheme="majorHAnsi"/>
          <w:sz w:val="24"/>
          <w:szCs w:val="24"/>
        </w:rPr>
        <w:t xml:space="preserve"> employers</w:t>
      </w:r>
      <w:r w:rsidRPr="00134766">
        <w:rPr>
          <w:rFonts w:asciiTheme="majorHAnsi" w:hAnsiTheme="majorHAnsi"/>
          <w:sz w:val="24"/>
          <w:szCs w:val="24"/>
        </w:rPr>
        <w:t xml:space="preserve"> </w:t>
      </w:r>
      <w:r w:rsidR="00AE2062" w:rsidRPr="00134766">
        <w:rPr>
          <w:rFonts w:asciiTheme="majorHAnsi" w:hAnsiTheme="majorHAnsi"/>
          <w:sz w:val="24"/>
          <w:szCs w:val="24"/>
        </w:rPr>
        <w:t xml:space="preserve">fully fund the LTD plan by purchasing </w:t>
      </w:r>
      <w:r w:rsidR="007535F0" w:rsidRPr="00134766">
        <w:rPr>
          <w:rFonts w:asciiTheme="majorHAnsi" w:hAnsiTheme="majorHAnsi"/>
          <w:sz w:val="24"/>
          <w:szCs w:val="24"/>
        </w:rPr>
        <w:t>a</w:t>
      </w:r>
      <w:r w:rsidR="00AE2062" w:rsidRPr="00134766">
        <w:rPr>
          <w:rFonts w:asciiTheme="majorHAnsi" w:hAnsiTheme="majorHAnsi"/>
          <w:sz w:val="24"/>
          <w:szCs w:val="24"/>
        </w:rPr>
        <w:t xml:space="preserve"> </w:t>
      </w:r>
      <w:r w:rsidRPr="00134766">
        <w:rPr>
          <w:rFonts w:asciiTheme="majorHAnsi" w:hAnsiTheme="majorHAnsi"/>
          <w:sz w:val="24"/>
          <w:szCs w:val="24"/>
        </w:rPr>
        <w:t xml:space="preserve">disability </w:t>
      </w:r>
      <w:r w:rsidR="00AE2062" w:rsidRPr="00134766">
        <w:rPr>
          <w:rFonts w:asciiTheme="majorHAnsi" w:hAnsiTheme="majorHAnsi"/>
          <w:sz w:val="24"/>
          <w:szCs w:val="24"/>
        </w:rPr>
        <w:t>insurance</w:t>
      </w:r>
      <w:r w:rsidRPr="00134766">
        <w:rPr>
          <w:rFonts w:asciiTheme="majorHAnsi" w:hAnsiTheme="majorHAnsi"/>
          <w:sz w:val="24"/>
          <w:szCs w:val="24"/>
        </w:rPr>
        <w:t xml:space="preserve"> </w:t>
      </w:r>
      <w:r w:rsidR="00AE2062" w:rsidRPr="00134766">
        <w:rPr>
          <w:rFonts w:asciiTheme="majorHAnsi" w:hAnsiTheme="majorHAnsi"/>
          <w:sz w:val="24"/>
          <w:szCs w:val="24"/>
        </w:rPr>
        <w:t xml:space="preserve">policy </w:t>
      </w:r>
      <w:r w:rsidRPr="00134766">
        <w:rPr>
          <w:rFonts w:asciiTheme="majorHAnsi" w:hAnsiTheme="majorHAnsi"/>
          <w:sz w:val="24"/>
          <w:szCs w:val="24"/>
        </w:rPr>
        <w:t xml:space="preserve">for employees. </w:t>
      </w:r>
      <w:r w:rsidR="00AE2062" w:rsidRPr="00134766">
        <w:rPr>
          <w:rFonts w:asciiTheme="majorHAnsi" w:hAnsiTheme="majorHAnsi"/>
          <w:sz w:val="24"/>
          <w:szCs w:val="24"/>
        </w:rPr>
        <w:t>In those cases, the long</w:t>
      </w:r>
      <w:r w:rsidR="00B044E8">
        <w:rPr>
          <w:rFonts w:asciiTheme="majorHAnsi" w:hAnsiTheme="majorHAnsi"/>
          <w:sz w:val="24"/>
          <w:szCs w:val="24"/>
        </w:rPr>
        <w:t>-</w:t>
      </w:r>
      <w:r w:rsidR="00AE2062" w:rsidRPr="00134766">
        <w:rPr>
          <w:rFonts w:asciiTheme="majorHAnsi" w:hAnsiTheme="majorHAnsi"/>
          <w:sz w:val="24"/>
          <w:szCs w:val="24"/>
        </w:rPr>
        <w:t>term disability insurer reviews and decides which claims are paid, an</w:t>
      </w:r>
      <w:r w:rsidR="00716E2D" w:rsidRPr="00134766">
        <w:rPr>
          <w:rFonts w:asciiTheme="majorHAnsi" w:hAnsiTheme="majorHAnsi"/>
          <w:sz w:val="24"/>
          <w:szCs w:val="24"/>
        </w:rPr>
        <w:t xml:space="preserve">d </w:t>
      </w:r>
      <w:r w:rsidR="00EF64F2">
        <w:rPr>
          <w:rFonts w:asciiTheme="majorHAnsi" w:hAnsiTheme="majorHAnsi"/>
          <w:sz w:val="24"/>
          <w:szCs w:val="24"/>
        </w:rPr>
        <w:t xml:space="preserve">then </w:t>
      </w:r>
      <w:r w:rsidR="00716E2D" w:rsidRPr="00134766">
        <w:rPr>
          <w:rFonts w:asciiTheme="majorHAnsi" w:hAnsiTheme="majorHAnsi"/>
          <w:sz w:val="24"/>
          <w:szCs w:val="24"/>
        </w:rPr>
        <w:t xml:space="preserve">pays the benefit from its own coffers. It is the classic fox in charge of the chicken coop scenario. </w:t>
      </w:r>
    </w:p>
    <w:p w:rsidR="00CD6508" w:rsidRPr="00134766" w:rsidRDefault="004326B7">
      <w:pPr>
        <w:rPr>
          <w:rFonts w:asciiTheme="majorHAnsi" w:hAnsiTheme="majorHAnsi"/>
          <w:sz w:val="24"/>
          <w:szCs w:val="24"/>
        </w:rPr>
      </w:pPr>
      <w:r w:rsidRPr="00134766">
        <w:rPr>
          <w:rFonts w:asciiTheme="majorHAnsi" w:hAnsiTheme="majorHAnsi"/>
          <w:sz w:val="24"/>
          <w:szCs w:val="24"/>
        </w:rPr>
        <w:lastRenderedPageBreak/>
        <w:t>W</w:t>
      </w:r>
      <w:r w:rsidR="00EE04D2" w:rsidRPr="00134766">
        <w:rPr>
          <w:rFonts w:asciiTheme="majorHAnsi" w:hAnsiTheme="majorHAnsi"/>
          <w:sz w:val="24"/>
          <w:szCs w:val="24"/>
        </w:rPr>
        <w:t>elfare benefit plans</w:t>
      </w:r>
      <w:r w:rsidR="00716E2D" w:rsidRPr="00134766">
        <w:rPr>
          <w:rFonts w:asciiTheme="majorHAnsi" w:hAnsiTheme="majorHAnsi"/>
          <w:sz w:val="24"/>
          <w:szCs w:val="24"/>
        </w:rPr>
        <w:t xml:space="preserve"> </w:t>
      </w:r>
      <w:r w:rsidR="00716E2D" w:rsidRPr="00134766">
        <w:rPr>
          <w:rFonts w:asciiTheme="majorHAnsi" w:hAnsiTheme="majorHAnsi"/>
          <w:b/>
          <w:i/>
          <w:sz w:val="24"/>
          <w:szCs w:val="24"/>
          <w:u w:val="single"/>
        </w:rPr>
        <w:t>are not</w:t>
      </w:r>
      <w:r w:rsidR="00096B57" w:rsidRPr="00134766">
        <w:rPr>
          <w:rFonts w:asciiTheme="majorHAnsi" w:hAnsiTheme="majorHAnsi"/>
          <w:sz w:val="24"/>
          <w:szCs w:val="24"/>
        </w:rPr>
        <w:t xml:space="preserve"> </w:t>
      </w:r>
      <w:r w:rsidR="00DB4B76" w:rsidRPr="00134766">
        <w:rPr>
          <w:rFonts w:asciiTheme="majorHAnsi" w:hAnsiTheme="majorHAnsi"/>
          <w:sz w:val="24"/>
          <w:szCs w:val="24"/>
        </w:rPr>
        <w:t xml:space="preserve">vested benefits like </w:t>
      </w:r>
      <w:r w:rsidR="00096B57" w:rsidRPr="00134766">
        <w:rPr>
          <w:rFonts w:asciiTheme="majorHAnsi" w:hAnsiTheme="majorHAnsi"/>
          <w:sz w:val="24"/>
          <w:szCs w:val="24"/>
        </w:rPr>
        <w:t>p</w:t>
      </w:r>
      <w:r w:rsidR="00DB4B76" w:rsidRPr="00134766">
        <w:rPr>
          <w:rFonts w:asciiTheme="majorHAnsi" w:hAnsiTheme="majorHAnsi"/>
          <w:sz w:val="24"/>
          <w:szCs w:val="24"/>
        </w:rPr>
        <w:t>ension</w:t>
      </w:r>
      <w:r w:rsidR="00096B57" w:rsidRPr="00134766">
        <w:rPr>
          <w:rFonts w:asciiTheme="majorHAnsi" w:hAnsiTheme="majorHAnsi"/>
          <w:sz w:val="24"/>
          <w:szCs w:val="24"/>
        </w:rPr>
        <w:t>s</w:t>
      </w:r>
      <w:r w:rsidR="00DB4B76" w:rsidRPr="00134766">
        <w:rPr>
          <w:rFonts w:asciiTheme="majorHAnsi" w:hAnsiTheme="majorHAnsi"/>
          <w:sz w:val="24"/>
          <w:szCs w:val="24"/>
        </w:rPr>
        <w:t xml:space="preserve"> and</w:t>
      </w:r>
      <w:r w:rsidR="00096B57" w:rsidRPr="00134766">
        <w:rPr>
          <w:rFonts w:asciiTheme="majorHAnsi" w:hAnsiTheme="majorHAnsi"/>
          <w:sz w:val="24"/>
          <w:szCs w:val="24"/>
        </w:rPr>
        <w:t>,</w:t>
      </w:r>
      <w:r w:rsidR="00DB4B76" w:rsidRPr="00134766">
        <w:rPr>
          <w:rFonts w:asciiTheme="majorHAnsi" w:hAnsiTheme="majorHAnsi"/>
          <w:sz w:val="24"/>
          <w:szCs w:val="24"/>
        </w:rPr>
        <w:t xml:space="preserve"> as such</w:t>
      </w:r>
      <w:r w:rsidR="00096B57" w:rsidRPr="00134766">
        <w:rPr>
          <w:rFonts w:asciiTheme="majorHAnsi" w:hAnsiTheme="majorHAnsi"/>
          <w:sz w:val="24"/>
          <w:szCs w:val="24"/>
        </w:rPr>
        <w:t>, may be modified and even terminated by an employer</w:t>
      </w:r>
      <w:r w:rsidR="00DB4B76" w:rsidRPr="00134766">
        <w:rPr>
          <w:rFonts w:asciiTheme="majorHAnsi" w:hAnsiTheme="majorHAnsi"/>
          <w:sz w:val="24"/>
          <w:szCs w:val="24"/>
        </w:rPr>
        <w:t>.</w:t>
      </w:r>
      <w:r w:rsidR="00096B57" w:rsidRPr="00134766">
        <w:rPr>
          <w:rFonts w:asciiTheme="majorHAnsi" w:hAnsiTheme="majorHAnsi"/>
          <w:sz w:val="24"/>
          <w:szCs w:val="24"/>
        </w:rPr>
        <w:t xml:space="preserve"> As a result, an employee must carefully review </w:t>
      </w:r>
      <w:r w:rsidR="007535F0" w:rsidRPr="00134766">
        <w:rPr>
          <w:rFonts w:asciiTheme="majorHAnsi" w:hAnsiTheme="majorHAnsi"/>
          <w:sz w:val="24"/>
          <w:szCs w:val="24"/>
        </w:rPr>
        <w:t xml:space="preserve">welfare benefit </w:t>
      </w:r>
      <w:r w:rsidR="00096B57" w:rsidRPr="00134766">
        <w:rPr>
          <w:rFonts w:asciiTheme="majorHAnsi" w:hAnsiTheme="majorHAnsi"/>
          <w:sz w:val="24"/>
          <w:szCs w:val="24"/>
        </w:rPr>
        <w:t xml:space="preserve">plan provisions as it relates to </w:t>
      </w:r>
      <w:r w:rsidR="003E6749" w:rsidRPr="00134766">
        <w:rPr>
          <w:rFonts w:asciiTheme="majorHAnsi" w:hAnsiTheme="majorHAnsi"/>
          <w:sz w:val="24"/>
          <w:szCs w:val="24"/>
        </w:rPr>
        <w:t xml:space="preserve">their entitlement to </w:t>
      </w:r>
      <w:r w:rsidR="00096B57" w:rsidRPr="00134766">
        <w:rPr>
          <w:rFonts w:asciiTheme="majorHAnsi" w:hAnsiTheme="majorHAnsi"/>
          <w:sz w:val="24"/>
          <w:szCs w:val="24"/>
        </w:rPr>
        <w:t>those benefits.</w:t>
      </w:r>
      <w:r w:rsidR="003E6749" w:rsidRPr="00134766">
        <w:rPr>
          <w:rFonts w:asciiTheme="majorHAnsi" w:hAnsiTheme="majorHAnsi"/>
          <w:sz w:val="24"/>
          <w:szCs w:val="24"/>
        </w:rPr>
        <w:t xml:space="preserve"> Plan provisions are often available to employees through online employer </w:t>
      </w:r>
      <w:r w:rsidR="007D1A7A" w:rsidRPr="00134766">
        <w:rPr>
          <w:rFonts w:asciiTheme="majorHAnsi" w:hAnsiTheme="majorHAnsi"/>
          <w:sz w:val="24"/>
          <w:szCs w:val="24"/>
        </w:rPr>
        <w:t xml:space="preserve">sponsored </w:t>
      </w:r>
      <w:r w:rsidR="003E6749" w:rsidRPr="00134766">
        <w:rPr>
          <w:rFonts w:asciiTheme="majorHAnsi" w:hAnsiTheme="majorHAnsi"/>
          <w:sz w:val="24"/>
          <w:szCs w:val="24"/>
        </w:rPr>
        <w:t xml:space="preserve">portals, </w:t>
      </w:r>
      <w:r w:rsidR="007D1A7A" w:rsidRPr="00134766">
        <w:rPr>
          <w:rFonts w:asciiTheme="majorHAnsi" w:hAnsiTheme="majorHAnsi"/>
          <w:sz w:val="24"/>
          <w:szCs w:val="24"/>
        </w:rPr>
        <w:t>s</w:t>
      </w:r>
      <w:r w:rsidR="003E6749" w:rsidRPr="00134766">
        <w:rPr>
          <w:rFonts w:asciiTheme="majorHAnsi" w:hAnsiTheme="majorHAnsi"/>
          <w:sz w:val="24"/>
          <w:szCs w:val="24"/>
        </w:rPr>
        <w:t xml:space="preserve">ummary </w:t>
      </w:r>
      <w:r w:rsidR="007D1A7A" w:rsidRPr="00134766">
        <w:rPr>
          <w:rFonts w:asciiTheme="majorHAnsi" w:hAnsiTheme="majorHAnsi"/>
          <w:sz w:val="24"/>
          <w:szCs w:val="24"/>
        </w:rPr>
        <w:t>p</w:t>
      </w:r>
      <w:r w:rsidR="003E6749" w:rsidRPr="00134766">
        <w:rPr>
          <w:rFonts w:asciiTheme="majorHAnsi" w:hAnsiTheme="majorHAnsi"/>
          <w:sz w:val="24"/>
          <w:szCs w:val="24"/>
        </w:rPr>
        <w:t xml:space="preserve">lan </w:t>
      </w:r>
      <w:r w:rsidR="007D1A7A" w:rsidRPr="00134766">
        <w:rPr>
          <w:rFonts w:asciiTheme="majorHAnsi" w:hAnsiTheme="majorHAnsi"/>
          <w:sz w:val="24"/>
          <w:szCs w:val="24"/>
        </w:rPr>
        <w:t>d</w:t>
      </w:r>
      <w:r w:rsidR="003E6749" w:rsidRPr="00134766">
        <w:rPr>
          <w:rFonts w:asciiTheme="majorHAnsi" w:hAnsiTheme="majorHAnsi"/>
          <w:sz w:val="24"/>
          <w:szCs w:val="24"/>
        </w:rPr>
        <w:t>escriptions (SPD)</w:t>
      </w:r>
      <w:r w:rsidR="00EF64F2">
        <w:rPr>
          <w:rFonts w:asciiTheme="majorHAnsi" w:hAnsiTheme="majorHAnsi"/>
          <w:sz w:val="24"/>
          <w:szCs w:val="24"/>
        </w:rPr>
        <w:t>, provided to employees</w:t>
      </w:r>
      <w:r w:rsidR="001D38C3">
        <w:rPr>
          <w:rFonts w:asciiTheme="majorHAnsi" w:hAnsiTheme="majorHAnsi"/>
          <w:sz w:val="24"/>
          <w:szCs w:val="24"/>
        </w:rPr>
        <w:t>,</w:t>
      </w:r>
      <w:r w:rsidR="003E6749" w:rsidRPr="00134766">
        <w:rPr>
          <w:rFonts w:asciiTheme="majorHAnsi" w:hAnsiTheme="majorHAnsi"/>
          <w:sz w:val="24"/>
          <w:szCs w:val="24"/>
        </w:rPr>
        <w:t xml:space="preserve"> </w:t>
      </w:r>
      <w:r w:rsidR="001D38C3">
        <w:rPr>
          <w:rFonts w:asciiTheme="majorHAnsi" w:hAnsiTheme="majorHAnsi"/>
          <w:sz w:val="24"/>
          <w:szCs w:val="24"/>
        </w:rPr>
        <w:t>or</w:t>
      </w:r>
      <w:r w:rsidR="003E6749" w:rsidRPr="00134766">
        <w:rPr>
          <w:rFonts w:asciiTheme="majorHAnsi" w:hAnsiTheme="majorHAnsi"/>
          <w:sz w:val="24"/>
          <w:szCs w:val="24"/>
        </w:rPr>
        <w:t xml:space="preserve"> through the </w:t>
      </w:r>
      <w:r w:rsidR="007D1A7A" w:rsidRPr="00134766">
        <w:rPr>
          <w:rFonts w:asciiTheme="majorHAnsi" w:hAnsiTheme="majorHAnsi"/>
          <w:sz w:val="24"/>
          <w:szCs w:val="24"/>
        </w:rPr>
        <w:t>e</w:t>
      </w:r>
      <w:r w:rsidR="003E6749" w:rsidRPr="00134766">
        <w:rPr>
          <w:rFonts w:asciiTheme="majorHAnsi" w:hAnsiTheme="majorHAnsi"/>
          <w:sz w:val="24"/>
          <w:szCs w:val="24"/>
        </w:rPr>
        <w:t xml:space="preserve">mployer’s </w:t>
      </w:r>
      <w:r w:rsidR="007D1A7A" w:rsidRPr="00134766">
        <w:rPr>
          <w:rFonts w:asciiTheme="majorHAnsi" w:hAnsiTheme="majorHAnsi"/>
          <w:sz w:val="24"/>
          <w:szCs w:val="24"/>
        </w:rPr>
        <w:t>h</w:t>
      </w:r>
      <w:r w:rsidR="003E6749" w:rsidRPr="00134766">
        <w:rPr>
          <w:rFonts w:asciiTheme="majorHAnsi" w:hAnsiTheme="majorHAnsi"/>
          <w:sz w:val="24"/>
          <w:szCs w:val="24"/>
        </w:rPr>
        <w:t xml:space="preserve">uman </w:t>
      </w:r>
      <w:r w:rsidR="007D1A7A" w:rsidRPr="00134766">
        <w:rPr>
          <w:rFonts w:asciiTheme="majorHAnsi" w:hAnsiTheme="majorHAnsi"/>
          <w:sz w:val="24"/>
          <w:szCs w:val="24"/>
        </w:rPr>
        <w:t>r</w:t>
      </w:r>
      <w:r w:rsidR="003E6749" w:rsidRPr="00134766">
        <w:rPr>
          <w:rFonts w:asciiTheme="majorHAnsi" w:hAnsiTheme="majorHAnsi"/>
          <w:sz w:val="24"/>
          <w:szCs w:val="24"/>
        </w:rPr>
        <w:t>esources department.</w:t>
      </w:r>
    </w:p>
    <w:p w:rsidR="00F23015" w:rsidRPr="00134766" w:rsidRDefault="00F23015" w:rsidP="00F23015">
      <w:pPr>
        <w:rPr>
          <w:rFonts w:asciiTheme="majorHAnsi" w:hAnsiTheme="majorHAnsi"/>
          <w:sz w:val="24"/>
          <w:szCs w:val="24"/>
        </w:rPr>
      </w:pPr>
      <w:r w:rsidRPr="00134766">
        <w:rPr>
          <w:rFonts w:asciiTheme="majorHAnsi" w:hAnsiTheme="majorHAnsi"/>
          <w:sz w:val="24"/>
          <w:szCs w:val="24"/>
        </w:rPr>
        <w:t xml:space="preserve">An individual can also obtain long term disability insurance coverage </w:t>
      </w:r>
      <w:r w:rsidR="007D3C14">
        <w:rPr>
          <w:rFonts w:asciiTheme="majorHAnsi" w:hAnsiTheme="majorHAnsi"/>
          <w:sz w:val="24"/>
          <w:szCs w:val="24"/>
        </w:rPr>
        <w:t xml:space="preserve">through </w:t>
      </w:r>
      <w:r w:rsidRPr="00134766">
        <w:rPr>
          <w:rFonts w:asciiTheme="majorHAnsi" w:hAnsiTheme="majorHAnsi"/>
          <w:sz w:val="24"/>
          <w:szCs w:val="24"/>
        </w:rPr>
        <w:t>membership in professional associations at group rates. (</w:t>
      </w:r>
      <w:proofErr w:type="spellStart"/>
      <w:r w:rsidRPr="00134766">
        <w:rPr>
          <w:rFonts w:asciiTheme="majorHAnsi" w:hAnsiTheme="majorHAnsi"/>
          <w:sz w:val="24"/>
          <w:szCs w:val="24"/>
        </w:rPr>
        <w:t>e.g</w:t>
      </w:r>
      <w:proofErr w:type="spellEnd"/>
      <w:r w:rsidRPr="00134766">
        <w:rPr>
          <w:rFonts w:asciiTheme="majorHAnsi" w:hAnsiTheme="majorHAnsi"/>
          <w:sz w:val="24"/>
          <w:szCs w:val="24"/>
        </w:rPr>
        <w:t>-the ABA, AMA</w:t>
      </w:r>
      <w:r w:rsidR="004B7D2F" w:rsidRPr="00134766">
        <w:rPr>
          <w:rFonts w:asciiTheme="majorHAnsi" w:hAnsiTheme="majorHAnsi"/>
          <w:sz w:val="24"/>
          <w:szCs w:val="24"/>
        </w:rPr>
        <w:t>, AICPA</w:t>
      </w:r>
      <w:r w:rsidRPr="00134766">
        <w:rPr>
          <w:rFonts w:asciiTheme="majorHAnsi" w:hAnsiTheme="majorHAnsi"/>
          <w:sz w:val="24"/>
          <w:szCs w:val="24"/>
        </w:rPr>
        <w:t xml:space="preserve"> et</w:t>
      </w:r>
      <w:r w:rsidR="004B7D2F" w:rsidRPr="00134766">
        <w:rPr>
          <w:rFonts w:asciiTheme="majorHAnsi" w:hAnsiTheme="majorHAnsi"/>
          <w:sz w:val="24"/>
          <w:szCs w:val="24"/>
        </w:rPr>
        <w:t>c</w:t>
      </w:r>
      <w:r w:rsidRPr="00134766">
        <w:rPr>
          <w:rFonts w:asciiTheme="majorHAnsi" w:hAnsiTheme="majorHAnsi"/>
          <w:sz w:val="24"/>
          <w:szCs w:val="24"/>
        </w:rPr>
        <w:t>.,</w:t>
      </w:r>
      <w:proofErr w:type="gramStart"/>
      <w:r w:rsidRPr="00134766">
        <w:rPr>
          <w:rFonts w:asciiTheme="majorHAnsi" w:hAnsiTheme="majorHAnsi"/>
          <w:sz w:val="24"/>
          <w:szCs w:val="24"/>
        </w:rPr>
        <w:t>) .</w:t>
      </w:r>
      <w:proofErr w:type="gramEnd"/>
      <w:r w:rsidRPr="00134766">
        <w:rPr>
          <w:rFonts w:asciiTheme="majorHAnsi" w:hAnsiTheme="majorHAnsi"/>
          <w:sz w:val="24"/>
          <w:szCs w:val="24"/>
        </w:rPr>
        <w:t xml:space="preserve"> </w:t>
      </w:r>
      <w:r w:rsidRPr="00134766">
        <w:rPr>
          <w:rStyle w:val="EndnoteReference"/>
          <w:rFonts w:asciiTheme="majorHAnsi" w:hAnsiTheme="majorHAnsi"/>
          <w:sz w:val="24"/>
          <w:szCs w:val="24"/>
        </w:rPr>
        <w:endnoteReference w:id="2"/>
      </w:r>
      <w:r w:rsidRPr="00134766">
        <w:rPr>
          <w:rFonts w:asciiTheme="majorHAnsi" w:hAnsiTheme="majorHAnsi"/>
          <w:sz w:val="24"/>
          <w:szCs w:val="24"/>
        </w:rPr>
        <w:t xml:space="preserve"> These “group” policies are often deemed to be </w:t>
      </w:r>
      <w:r w:rsidR="00F05D3E">
        <w:rPr>
          <w:rFonts w:asciiTheme="majorHAnsi" w:hAnsiTheme="majorHAnsi"/>
          <w:sz w:val="24"/>
          <w:szCs w:val="24"/>
        </w:rPr>
        <w:t>governed by ERISA</w:t>
      </w:r>
      <w:r w:rsidRPr="00134766">
        <w:rPr>
          <w:rFonts w:asciiTheme="majorHAnsi" w:hAnsiTheme="majorHAnsi"/>
          <w:sz w:val="24"/>
          <w:szCs w:val="24"/>
        </w:rPr>
        <w:t>.</w:t>
      </w:r>
    </w:p>
    <w:p w:rsidR="00DB4B76" w:rsidRPr="00134766" w:rsidRDefault="003E6749">
      <w:pPr>
        <w:rPr>
          <w:rFonts w:asciiTheme="majorHAnsi" w:hAnsiTheme="majorHAnsi"/>
          <w:sz w:val="24"/>
          <w:szCs w:val="24"/>
        </w:rPr>
      </w:pPr>
      <w:r w:rsidRPr="00134766">
        <w:rPr>
          <w:rFonts w:asciiTheme="majorHAnsi" w:hAnsiTheme="majorHAnsi"/>
          <w:sz w:val="24"/>
          <w:szCs w:val="24"/>
        </w:rPr>
        <w:t xml:space="preserve">Individuals can also privately purchase </w:t>
      </w:r>
      <w:r w:rsidR="00DB4B76" w:rsidRPr="00134766">
        <w:rPr>
          <w:rFonts w:asciiTheme="majorHAnsi" w:hAnsiTheme="majorHAnsi"/>
          <w:sz w:val="24"/>
          <w:szCs w:val="24"/>
        </w:rPr>
        <w:t xml:space="preserve">disability </w:t>
      </w:r>
      <w:r w:rsidR="00187747" w:rsidRPr="00134766">
        <w:rPr>
          <w:rFonts w:asciiTheme="majorHAnsi" w:hAnsiTheme="majorHAnsi"/>
          <w:sz w:val="24"/>
          <w:szCs w:val="24"/>
        </w:rPr>
        <w:t xml:space="preserve">income (DI) </w:t>
      </w:r>
      <w:r w:rsidR="00DB4B76" w:rsidRPr="00134766">
        <w:rPr>
          <w:rFonts w:asciiTheme="majorHAnsi" w:hAnsiTheme="majorHAnsi"/>
          <w:sz w:val="24"/>
          <w:szCs w:val="24"/>
        </w:rPr>
        <w:t xml:space="preserve">insurance </w:t>
      </w:r>
      <w:r w:rsidR="00DC4B0F" w:rsidRPr="00134766">
        <w:rPr>
          <w:rFonts w:asciiTheme="majorHAnsi" w:hAnsiTheme="majorHAnsi"/>
          <w:sz w:val="24"/>
          <w:szCs w:val="24"/>
        </w:rPr>
        <w:t>directly</w:t>
      </w:r>
      <w:r w:rsidR="00DB4B76" w:rsidRPr="00134766">
        <w:rPr>
          <w:rFonts w:asciiTheme="majorHAnsi" w:hAnsiTheme="majorHAnsi"/>
          <w:sz w:val="24"/>
          <w:szCs w:val="24"/>
        </w:rPr>
        <w:t xml:space="preserve"> through a</w:t>
      </w:r>
      <w:r w:rsidR="00187747" w:rsidRPr="00134766">
        <w:rPr>
          <w:rFonts w:asciiTheme="majorHAnsi" w:hAnsiTheme="majorHAnsi"/>
          <w:sz w:val="24"/>
          <w:szCs w:val="24"/>
        </w:rPr>
        <w:t>n insurance</w:t>
      </w:r>
      <w:r w:rsidR="00DB4B76" w:rsidRPr="00134766">
        <w:rPr>
          <w:rFonts w:asciiTheme="majorHAnsi" w:hAnsiTheme="majorHAnsi"/>
          <w:sz w:val="24"/>
          <w:szCs w:val="24"/>
        </w:rPr>
        <w:t xml:space="preserve"> broker. Those</w:t>
      </w:r>
      <w:r w:rsidR="00187747" w:rsidRPr="00134766">
        <w:rPr>
          <w:rFonts w:asciiTheme="majorHAnsi" w:hAnsiTheme="majorHAnsi"/>
          <w:sz w:val="24"/>
          <w:szCs w:val="24"/>
        </w:rPr>
        <w:t xml:space="preserve"> DI</w:t>
      </w:r>
      <w:r w:rsidR="00DB4B76" w:rsidRPr="00134766">
        <w:rPr>
          <w:rFonts w:asciiTheme="majorHAnsi" w:hAnsiTheme="majorHAnsi"/>
          <w:sz w:val="24"/>
          <w:szCs w:val="24"/>
        </w:rPr>
        <w:t xml:space="preserve"> policies are not</w:t>
      </w:r>
      <w:r w:rsidR="006B2AC2" w:rsidRPr="00134766">
        <w:rPr>
          <w:rFonts w:asciiTheme="majorHAnsi" w:hAnsiTheme="majorHAnsi"/>
          <w:sz w:val="24"/>
          <w:szCs w:val="24"/>
        </w:rPr>
        <w:t xml:space="preserve"> governed by ERISA</w:t>
      </w:r>
      <w:r w:rsidR="00DB4B76" w:rsidRPr="00134766">
        <w:rPr>
          <w:rFonts w:asciiTheme="majorHAnsi" w:hAnsiTheme="majorHAnsi"/>
          <w:sz w:val="24"/>
          <w:szCs w:val="24"/>
        </w:rPr>
        <w:t>, but rather state insurance laws</w:t>
      </w:r>
      <w:r w:rsidR="004326B7" w:rsidRPr="00134766">
        <w:rPr>
          <w:rFonts w:asciiTheme="majorHAnsi" w:hAnsiTheme="majorHAnsi"/>
          <w:sz w:val="24"/>
          <w:szCs w:val="24"/>
        </w:rPr>
        <w:t>.</w:t>
      </w:r>
      <w:r w:rsidR="00096B57" w:rsidRPr="00134766">
        <w:rPr>
          <w:rFonts w:asciiTheme="majorHAnsi" w:hAnsiTheme="majorHAnsi"/>
          <w:sz w:val="24"/>
          <w:szCs w:val="24"/>
        </w:rPr>
        <w:t xml:space="preserve"> </w:t>
      </w:r>
      <w:r w:rsidR="004326B7" w:rsidRPr="00134766">
        <w:rPr>
          <w:rFonts w:asciiTheme="majorHAnsi" w:hAnsiTheme="majorHAnsi"/>
          <w:sz w:val="24"/>
          <w:szCs w:val="24"/>
        </w:rPr>
        <w:t>U</w:t>
      </w:r>
      <w:r w:rsidR="00096B57" w:rsidRPr="00134766">
        <w:rPr>
          <w:rFonts w:asciiTheme="majorHAnsi" w:hAnsiTheme="majorHAnsi"/>
          <w:sz w:val="24"/>
          <w:szCs w:val="24"/>
        </w:rPr>
        <w:t xml:space="preserve">nlike </w:t>
      </w:r>
      <w:r w:rsidR="004326B7" w:rsidRPr="00134766">
        <w:rPr>
          <w:rFonts w:asciiTheme="majorHAnsi" w:hAnsiTheme="majorHAnsi"/>
          <w:sz w:val="24"/>
          <w:szCs w:val="24"/>
        </w:rPr>
        <w:t>the</w:t>
      </w:r>
      <w:r w:rsidR="00505B8C">
        <w:rPr>
          <w:rFonts w:asciiTheme="majorHAnsi" w:hAnsiTheme="majorHAnsi"/>
          <w:sz w:val="24"/>
          <w:szCs w:val="24"/>
        </w:rPr>
        <w:t xml:space="preserve"> limited</w:t>
      </w:r>
      <w:r w:rsidR="004326B7" w:rsidRPr="00134766">
        <w:rPr>
          <w:rFonts w:asciiTheme="majorHAnsi" w:hAnsiTheme="majorHAnsi"/>
          <w:sz w:val="24"/>
          <w:szCs w:val="24"/>
        </w:rPr>
        <w:t xml:space="preserve"> remedies available </w:t>
      </w:r>
      <w:r w:rsidR="00505B8C">
        <w:rPr>
          <w:rFonts w:asciiTheme="majorHAnsi" w:hAnsiTheme="majorHAnsi"/>
          <w:sz w:val="24"/>
          <w:szCs w:val="24"/>
        </w:rPr>
        <w:t xml:space="preserve">to </w:t>
      </w:r>
      <w:r w:rsidR="00096B57" w:rsidRPr="00134766">
        <w:rPr>
          <w:rFonts w:asciiTheme="majorHAnsi" w:hAnsiTheme="majorHAnsi"/>
          <w:sz w:val="24"/>
          <w:szCs w:val="24"/>
        </w:rPr>
        <w:t>ERISA</w:t>
      </w:r>
      <w:r w:rsidR="00187747" w:rsidRPr="00134766">
        <w:rPr>
          <w:rFonts w:asciiTheme="majorHAnsi" w:hAnsiTheme="majorHAnsi"/>
          <w:sz w:val="24"/>
          <w:szCs w:val="24"/>
        </w:rPr>
        <w:t xml:space="preserve"> LTD</w:t>
      </w:r>
      <w:r w:rsidR="004326B7" w:rsidRPr="00134766">
        <w:rPr>
          <w:rFonts w:asciiTheme="majorHAnsi" w:hAnsiTheme="majorHAnsi"/>
          <w:sz w:val="24"/>
          <w:szCs w:val="24"/>
        </w:rPr>
        <w:t xml:space="preserve"> claimants who are denied benefits, claimants denied benefits under a privately purchased disability polic</w:t>
      </w:r>
      <w:r w:rsidR="001F5177" w:rsidRPr="00134766">
        <w:rPr>
          <w:rFonts w:asciiTheme="majorHAnsi" w:hAnsiTheme="majorHAnsi"/>
          <w:sz w:val="24"/>
          <w:szCs w:val="24"/>
        </w:rPr>
        <w:t>y</w:t>
      </w:r>
      <w:r w:rsidR="004326B7" w:rsidRPr="00134766">
        <w:rPr>
          <w:rFonts w:asciiTheme="majorHAnsi" w:hAnsiTheme="majorHAnsi"/>
          <w:sz w:val="24"/>
          <w:szCs w:val="24"/>
        </w:rPr>
        <w:t xml:space="preserve"> can seek </w:t>
      </w:r>
      <w:r w:rsidR="00096B57" w:rsidRPr="00134766">
        <w:rPr>
          <w:rFonts w:asciiTheme="majorHAnsi" w:hAnsiTheme="majorHAnsi"/>
          <w:sz w:val="24"/>
          <w:szCs w:val="24"/>
        </w:rPr>
        <w:t>bad faith and other consequential damages</w:t>
      </w:r>
      <w:r w:rsidR="004326B7" w:rsidRPr="00134766">
        <w:rPr>
          <w:rFonts w:asciiTheme="majorHAnsi" w:hAnsiTheme="majorHAnsi"/>
          <w:sz w:val="24"/>
          <w:szCs w:val="24"/>
        </w:rPr>
        <w:t xml:space="preserve"> when the </w:t>
      </w:r>
      <w:r w:rsidR="001F5177" w:rsidRPr="00134766">
        <w:rPr>
          <w:rFonts w:asciiTheme="majorHAnsi" w:hAnsiTheme="majorHAnsi"/>
          <w:sz w:val="24"/>
          <w:szCs w:val="24"/>
        </w:rPr>
        <w:t>LTD insurance company has acted</w:t>
      </w:r>
      <w:r w:rsidR="00096B57" w:rsidRPr="00134766">
        <w:rPr>
          <w:rFonts w:asciiTheme="majorHAnsi" w:hAnsiTheme="majorHAnsi"/>
          <w:sz w:val="24"/>
          <w:szCs w:val="24"/>
        </w:rPr>
        <w:t xml:space="preserve"> egregiously in denying </w:t>
      </w:r>
      <w:r w:rsidR="001F5177" w:rsidRPr="00134766">
        <w:rPr>
          <w:rFonts w:asciiTheme="majorHAnsi" w:hAnsiTheme="majorHAnsi"/>
          <w:sz w:val="24"/>
          <w:szCs w:val="24"/>
        </w:rPr>
        <w:t>the</w:t>
      </w:r>
      <w:r w:rsidR="00096B57" w:rsidRPr="00134766">
        <w:rPr>
          <w:rFonts w:asciiTheme="majorHAnsi" w:hAnsiTheme="majorHAnsi"/>
          <w:sz w:val="24"/>
          <w:szCs w:val="24"/>
        </w:rPr>
        <w:t xml:space="preserve"> claim</w:t>
      </w:r>
      <w:r w:rsidR="006B2AC2" w:rsidRPr="00134766">
        <w:rPr>
          <w:rFonts w:asciiTheme="majorHAnsi" w:hAnsiTheme="majorHAnsi"/>
          <w:sz w:val="24"/>
          <w:szCs w:val="24"/>
        </w:rPr>
        <w:t>.</w:t>
      </w:r>
      <w:r w:rsidR="00DC4B0F" w:rsidRPr="00134766">
        <w:rPr>
          <w:rFonts w:asciiTheme="majorHAnsi" w:hAnsiTheme="majorHAnsi"/>
          <w:sz w:val="24"/>
          <w:szCs w:val="24"/>
        </w:rPr>
        <w:t xml:space="preserve"> </w:t>
      </w:r>
      <w:r w:rsidR="001D38C3">
        <w:rPr>
          <w:rFonts w:asciiTheme="majorHAnsi" w:hAnsiTheme="majorHAnsi"/>
          <w:sz w:val="24"/>
          <w:szCs w:val="24"/>
        </w:rPr>
        <w:t xml:space="preserve">There are no bad faith damages available to plaintiffs in an ERISA LTD benefit litigation case. </w:t>
      </w:r>
    </w:p>
    <w:p w:rsidR="00DB4B76" w:rsidRPr="00134766" w:rsidRDefault="001F5177">
      <w:pPr>
        <w:rPr>
          <w:rFonts w:asciiTheme="majorHAnsi" w:hAnsiTheme="majorHAnsi"/>
          <w:sz w:val="24"/>
          <w:szCs w:val="24"/>
        </w:rPr>
      </w:pPr>
      <w:r w:rsidRPr="00134766">
        <w:rPr>
          <w:rFonts w:asciiTheme="majorHAnsi" w:hAnsiTheme="majorHAnsi"/>
          <w:sz w:val="24"/>
          <w:szCs w:val="24"/>
        </w:rPr>
        <w:t>Theoretically, b</w:t>
      </w:r>
      <w:r w:rsidR="00DC4B0F" w:rsidRPr="00134766">
        <w:rPr>
          <w:rFonts w:asciiTheme="majorHAnsi" w:hAnsiTheme="majorHAnsi"/>
          <w:sz w:val="24"/>
          <w:szCs w:val="24"/>
        </w:rPr>
        <w:t>oth</w:t>
      </w:r>
      <w:r w:rsidR="00187747" w:rsidRPr="00134766">
        <w:rPr>
          <w:rFonts w:asciiTheme="majorHAnsi" w:hAnsiTheme="majorHAnsi"/>
          <w:sz w:val="24"/>
          <w:szCs w:val="24"/>
        </w:rPr>
        <w:t xml:space="preserve"> ERISA LTD </w:t>
      </w:r>
      <w:r w:rsidR="000108C2" w:rsidRPr="00134766">
        <w:rPr>
          <w:rFonts w:asciiTheme="majorHAnsi" w:hAnsiTheme="majorHAnsi"/>
          <w:sz w:val="24"/>
          <w:szCs w:val="24"/>
        </w:rPr>
        <w:t>and DI LTD</w:t>
      </w:r>
      <w:r w:rsidR="00DB4B76" w:rsidRPr="00134766">
        <w:rPr>
          <w:rFonts w:asciiTheme="majorHAnsi" w:hAnsiTheme="majorHAnsi"/>
          <w:sz w:val="24"/>
          <w:szCs w:val="24"/>
        </w:rPr>
        <w:t xml:space="preserve"> provide </w:t>
      </w:r>
      <w:r w:rsidR="00D5780C" w:rsidRPr="00134766">
        <w:rPr>
          <w:rFonts w:asciiTheme="majorHAnsi" w:hAnsiTheme="majorHAnsi"/>
          <w:sz w:val="24"/>
          <w:szCs w:val="24"/>
        </w:rPr>
        <w:t xml:space="preserve">long term disability insurance </w:t>
      </w:r>
      <w:r w:rsidR="00DB4B76" w:rsidRPr="00134766">
        <w:rPr>
          <w:rFonts w:asciiTheme="majorHAnsi" w:hAnsiTheme="majorHAnsi"/>
          <w:sz w:val="24"/>
          <w:szCs w:val="24"/>
        </w:rPr>
        <w:t xml:space="preserve">coverage </w:t>
      </w:r>
      <w:r w:rsidR="00D5780C" w:rsidRPr="00134766">
        <w:rPr>
          <w:rFonts w:asciiTheme="majorHAnsi" w:hAnsiTheme="majorHAnsi"/>
          <w:sz w:val="24"/>
          <w:szCs w:val="24"/>
        </w:rPr>
        <w:t xml:space="preserve">(hereinafter LTD) to </w:t>
      </w:r>
      <w:r w:rsidR="007535F0" w:rsidRPr="00134766">
        <w:rPr>
          <w:rFonts w:asciiTheme="majorHAnsi" w:hAnsiTheme="majorHAnsi"/>
          <w:sz w:val="24"/>
          <w:szCs w:val="24"/>
        </w:rPr>
        <w:t>ensure</w:t>
      </w:r>
      <w:r w:rsidR="004857D5" w:rsidRPr="00134766">
        <w:rPr>
          <w:rFonts w:asciiTheme="majorHAnsi" w:hAnsiTheme="majorHAnsi"/>
          <w:sz w:val="24"/>
          <w:szCs w:val="24"/>
        </w:rPr>
        <w:t xml:space="preserve"> </w:t>
      </w:r>
      <w:r w:rsidR="00D5780C" w:rsidRPr="00134766">
        <w:rPr>
          <w:rFonts w:asciiTheme="majorHAnsi" w:hAnsiTheme="majorHAnsi"/>
          <w:sz w:val="24"/>
          <w:szCs w:val="24"/>
        </w:rPr>
        <w:t>financial security in the form of income protection, in th</w:t>
      </w:r>
      <w:r w:rsidR="00DC4B0F" w:rsidRPr="00134766">
        <w:rPr>
          <w:rFonts w:asciiTheme="majorHAnsi" w:hAnsiTheme="majorHAnsi"/>
          <w:sz w:val="24"/>
          <w:szCs w:val="24"/>
        </w:rPr>
        <w:t xml:space="preserve">e event an individual becomes too disabled to work. </w:t>
      </w:r>
      <w:r w:rsidR="004857D5" w:rsidRPr="00134766">
        <w:rPr>
          <w:rFonts w:asciiTheme="majorHAnsi" w:hAnsiTheme="majorHAnsi"/>
          <w:sz w:val="24"/>
          <w:szCs w:val="24"/>
        </w:rPr>
        <w:t>At least that is the promise.</w:t>
      </w:r>
    </w:p>
    <w:p w:rsidR="004857D5" w:rsidRPr="00134766" w:rsidRDefault="00DC4B0F">
      <w:pPr>
        <w:rPr>
          <w:rFonts w:asciiTheme="majorHAnsi" w:hAnsiTheme="majorHAnsi"/>
          <w:sz w:val="24"/>
          <w:szCs w:val="24"/>
        </w:rPr>
      </w:pPr>
      <w:r w:rsidRPr="00134766">
        <w:rPr>
          <w:rFonts w:asciiTheme="majorHAnsi" w:hAnsiTheme="majorHAnsi"/>
          <w:sz w:val="24"/>
          <w:szCs w:val="24"/>
        </w:rPr>
        <w:t xml:space="preserve">The </w:t>
      </w:r>
      <w:r w:rsidR="004857D5" w:rsidRPr="00134766">
        <w:rPr>
          <w:rFonts w:asciiTheme="majorHAnsi" w:hAnsiTheme="majorHAnsi"/>
          <w:sz w:val="24"/>
          <w:szCs w:val="24"/>
        </w:rPr>
        <w:t xml:space="preserve">DI </w:t>
      </w:r>
      <w:r w:rsidRPr="00134766">
        <w:rPr>
          <w:rFonts w:asciiTheme="majorHAnsi" w:hAnsiTheme="majorHAnsi"/>
          <w:sz w:val="24"/>
          <w:szCs w:val="24"/>
        </w:rPr>
        <w:t>policy</w:t>
      </w:r>
      <w:r w:rsidR="00D5780C" w:rsidRPr="00134766">
        <w:rPr>
          <w:rFonts w:asciiTheme="majorHAnsi" w:hAnsiTheme="majorHAnsi"/>
          <w:sz w:val="24"/>
          <w:szCs w:val="24"/>
        </w:rPr>
        <w:t xml:space="preserve"> </w:t>
      </w:r>
      <w:r w:rsidRPr="00134766">
        <w:rPr>
          <w:rFonts w:asciiTheme="majorHAnsi" w:hAnsiTheme="majorHAnsi"/>
          <w:sz w:val="24"/>
          <w:szCs w:val="24"/>
        </w:rPr>
        <w:t xml:space="preserve">usually </w:t>
      </w:r>
      <w:r w:rsidR="00D5780C" w:rsidRPr="00134766">
        <w:rPr>
          <w:rFonts w:asciiTheme="majorHAnsi" w:hAnsiTheme="majorHAnsi"/>
          <w:sz w:val="24"/>
          <w:szCs w:val="24"/>
        </w:rPr>
        <w:t xml:space="preserve">provides a fixed </w:t>
      </w:r>
      <w:r w:rsidRPr="00134766">
        <w:rPr>
          <w:rFonts w:asciiTheme="majorHAnsi" w:hAnsiTheme="majorHAnsi"/>
          <w:sz w:val="24"/>
          <w:szCs w:val="24"/>
        </w:rPr>
        <w:t xml:space="preserve">amount of monthly </w:t>
      </w:r>
      <w:r w:rsidR="005A4C85" w:rsidRPr="00134766">
        <w:rPr>
          <w:rFonts w:asciiTheme="majorHAnsi" w:hAnsiTheme="majorHAnsi"/>
          <w:sz w:val="24"/>
          <w:szCs w:val="24"/>
        </w:rPr>
        <w:t xml:space="preserve">LTD </w:t>
      </w:r>
      <w:r w:rsidRPr="00134766">
        <w:rPr>
          <w:rFonts w:asciiTheme="majorHAnsi" w:hAnsiTheme="majorHAnsi"/>
          <w:sz w:val="24"/>
          <w:szCs w:val="24"/>
        </w:rPr>
        <w:t xml:space="preserve">benefits </w:t>
      </w:r>
      <w:r w:rsidR="004857D5" w:rsidRPr="00134766">
        <w:rPr>
          <w:rFonts w:asciiTheme="majorHAnsi" w:hAnsiTheme="majorHAnsi"/>
          <w:sz w:val="24"/>
          <w:szCs w:val="24"/>
        </w:rPr>
        <w:t xml:space="preserve">based on income information provided </w:t>
      </w:r>
      <w:r w:rsidR="005A4C85" w:rsidRPr="00134766">
        <w:rPr>
          <w:rFonts w:asciiTheme="majorHAnsi" w:hAnsiTheme="majorHAnsi"/>
          <w:sz w:val="24"/>
          <w:szCs w:val="24"/>
        </w:rPr>
        <w:t xml:space="preserve">by the claimant in his/her initial insurance application </w:t>
      </w:r>
      <w:r w:rsidR="004857D5" w:rsidRPr="00134766">
        <w:rPr>
          <w:rFonts w:asciiTheme="majorHAnsi" w:hAnsiTheme="majorHAnsi"/>
          <w:sz w:val="24"/>
          <w:szCs w:val="24"/>
        </w:rPr>
        <w:t>to the broker and the insurance company. Some individuals fail to purchase adequate DI insurance because they do no want to pay higher premium</w:t>
      </w:r>
      <w:r w:rsidR="001F5177" w:rsidRPr="00134766">
        <w:rPr>
          <w:rFonts w:asciiTheme="majorHAnsi" w:hAnsiTheme="majorHAnsi"/>
          <w:sz w:val="24"/>
          <w:szCs w:val="24"/>
        </w:rPr>
        <w:t>s</w:t>
      </w:r>
      <w:r w:rsidR="004857D5" w:rsidRPr="00134766">
        <w:rPr>
          <w:rFonts w:asciiTheme="majorHAnsi" w:hAnsiTheme="majorHAnsi"/>
          <w:sz w:val="24"/>
          <w:szCs w:val="24"/>
        </w:rPr>
        <w:t>.</w:t>
      </w:r>
      <w:r w:rsidR="007D1A7A" w:rsidRPr="00134766">
        <w:rPr>
          <w:rFonts w:asciiTheme="majorHAnsi" w:hAnsiTheme="majorHAnsi"/>
          <w:sz w:val="24"/>
          <w:szCs w:val="24"/>
        </w:rPr>
        <w:t xml:space="preserve"> Unfortunately, when that occurs, </w:t>
      </w:r>
      <w:r w:rsidR="00826A87" w:rsidRPr="00134766">
        <w:rPr>
          <w:rFonts w:asciiTheme="majorHAnsi" w:hAnsiTheme="majorHAnsi"/>
          <w:sz w:val="24"/>
          <w:szCs w:val="24"/>
        </w:rPr>
        <w:t>and disability strikes</w:t>
      </w:r>
      <w:r w:rsidR="007D1A7A" w:rsidRPr="00134766">
        <w:rPr>
          <w:rFonts w:asciiTheme="majorHAnsi" w:hAnsiTheme="majorHAnsi"/>
          <w:sz w:val="24"/>
          <w:szCs w:val="24"/>
        </w:rPr>
        <w:t>, they find themselves underinsured and unable to meet their living expenses.</w:t>
      </w:r>
      <w:r w:rsidR="005A4C85" w:rsidRPr="00134766">
        <w:rPr>
          <w:rFonts w:asciiTheme="majorHAnsi" w:hAnsiTheme="majorHAnsi"/>
          <w:sz w:val="24"/>
          <w:szCs w:val="24"/>
        </w:rPr>
        <w:t xml:space="preserve"> </w:t>
      </w:r>
      <w:r w:rsidR="001F5177" w:rsidRPr="00134766">
        <w:rPr>
          <w:rFonts w:asciiTheme="majorHAnsi" w:hAnsiTheme="majorHAnsi"/>
          <w:sz w:val="24"/>
          <w:szCs w:val="24"/>
        </w:rPr>
        <w:t>A</w:t>
      </w:r>
      <w:r w:rsidR="005A4C85" w:rsidRPr="00134766">
        <w:rPr>
          <w:rFonts w:asciiTheme="majorHAnsi" w:hAnsiTheme="majorHAnsi"/>
          <w:sz w:val="24"/>
          <w:szCs w:val="24"/>
        </w:rPr>
        <w:t xml:space="preserve">nyone contemplating purchasing DI LTD insurance </w:t>
      </w:r>
      <w:r w:rsidR="001F5177" w:rsidRPr="00134766">
        <w:rPr>
          <w:rFonts w:asciiTheme="majorHAnsi" w:hAnsiTheme="majorHAnsi"/>
          <w:sz w:val="24"/>
          <w:szCs w:val="24"/>
        </w:rPr>
        <w:t>must engage in full disclosure when answering questions on</w:t>
      </w:r>
      <w:r w:rsidR="005A4C85" w:rsidRPr="00134766">
        <w:rPr>
          <w:rFonts w:asciiTheme="majorHAnsi" w:hAnsiTheme="majorHAnsi"/>
          <w:sz w:val="24"/>
          <w:szCs w:val="24"/>
        </w:rPr>
        <w:t xml:space="preserve"> the initial application. Some brokers encourage disability insurance applicants to just check </w:t>
      </w:r>
      <w:r w:rsidR="00CA7BB0">
        <w:rPr>
          <w:rFonts w:asciiTheme="majorHAnsi" w:hAnsiTheme="majorHAnsi"/>
          <w:sz w:val="24"/>
          <w:szCs w:val="24"/>
        </w:rPr>
        <w:t>“</w:t>
      </w:r>
      <w:r w:rsidR="005A4C85" w:rsidRPr="00134766">
        <w:rPr>
          <w:rFonts w:asciiTheme="majorHAnsi" w:hAnsiTheme="majorHAnsi"/>
          <w:sz w:val="24"/>
          <w:szCs w:val="24"/>
        </w:rPr>
        <w:t>no</w:t>
      </w:r>
      <w:r w:rsidR="00CA7BB0">
        <w:rPr>
          <w:rFonts w:asciiTheme="majorHAnsi" w:hAnsiTheme="majorHAnsi"/>
          <w:sz w:val="24"/>
          <w:szCs w:val="24"/>
        </w:rPr>
        <w:t>”</w:t>
      </w:r>
      <w:r w:rsidR="005A4C85" w:rsidRPr="00134766">
        <w:rPr>
          <w:rFonts w:asciiTheme="majorHAnsi" w:hAnsiTheme="majorHAnsi"/>
          <w:sz w:val="24"/>
          <w:szCs w:val="24"/>
        </w:rPr>
        <w:t xml:space="preserve"> to all questions pertaining to past health problems</w:t>
      </w:r>
      <w:r w:rsidR="001F5177" w:rsidRPr="00134766">
        <w:rPr>
          <w:rFonts w:asciiTheme="majorHAnsi" w:hAnsiTheme="majorHAnsi"/>
          <w:sz w:val="24"/>
          <w:szCs w:val="24"/>
        </w:rPr>
        <w:t xml:space="preserve"> </w:t>
      </w:r>
      <w:r w:rsidR="005A4C85" w:rsidRPr="00134766">
        <w:rPr>
          <w:rFonts w:asciiTheme="majorHAnsi" w:hAnsiTheme="majorHAnsi"/>
          <w:sz w:val="24"/>
          <w:szCs w:val="24"/>
        </w:rPr>
        <w:t xml:space="preserve">to ensure their commission on the premium paid by the consumer. </w:t>
      </w:r>
      <w:r w:rsidR="001F5177" w:rsidRPr="00134766">
        <w:rPr>
          <w:rFonts w:asciiTheme="majorHAnsi" w:hAnsiTheme="majorHAnsi"/>
          <w:sz w:val="24"/>
          <w:szCs w:val="24"/>
        </w:rPr>
        <w:t xml:space="preserve">But if </w:t>
      </w:r>
      <w:r w:rsidR="0024482A" w:rsidRPr="00134766">
        <w:rPr>
          <w:rFonts w:asciiTheme="majorHAnsi" w:hAnsiTheme="majorHAnsi"/>
          <w:sz w:val="24"/>
          <w:szCs w:val="24"/>
        </w:rPr>
        <w:t xml:space="preserve">an </w:t>
      </w:r>
      <w:r w:rsidR="001F5177" w:rsidRPr="00134766">
        <w:rPr>
          <w:rFonts w:asciiTheme="majorHAnsi" w:hAnsiTheme="majorHAnsi"/>
          <w:sz w:val="24"/>
          <w:szCs w:val="24"/>
        </w:rPr>
        <w:t>applicant</w:t>
      </w:r>
      <w:r w:rsidR="0024482A" w:rsidRPr="00134766">
        <w:rPr>
          <w:rFonts w:asciiTheme="majorHAnsi" w:hAnsiTheme="majorHAnsi"/>
          <w:sz w:val="24"/>
          <w:szCs w:val="24"/>
        </w:rPr>
        <w:t xml:space="preserve"> fails to answer the questions honestly and fully, the insurer will</w:t>
      </w:r>
      <w:r w:rsidR="001F5177" w:rsidRPr="00134766">
        <w:rPr>
          <w:rFonts w:asciiTheme="majorHAnsi" w:hAnsiTheme="majorHAnsi"/>
          <w:sz w:val="24"/>
          <w:szCs w:val="24"/>
        </w:rPr>
        <w:t xml:space="preserve"> later</w:t>
      </w:r>
      <w:r w:rsidR="0024482A" w:rsidRPr="00134766">
        <w:rPr>
          <w:rFonts w:asciiTheme="majorHAnsi" w:hAnsiTheme="majorHAnsi"/>
          <w:sz w:val="24"/>
          <w:szCs w:val="24"/>
        </w:rPr>
        <w:t xml:space="preserve"> demand rescission of the policy, and limit payment to reimbursement of premiums paid, at the very least, or </w:t>
      </w:r>
      <w:r w:rsidR="001F5177" w:rsidRPr="00134766">
        <w:rPr>
          <w:rFonts w:asciiTheme="majorHAnsi" w:hAnsiTheme="majorHAnsi"/>
          <w:sz w:val="24"/>
          <w:szCs w:val="24"/>
        </w:rPr>
        <w:t xml:space="preserve">a claim of </w:t>
      </w:r>
      <w:r w:rsidR="0024482A" w:rsidRPr="00134766">
        <w:rPr>
          <w:rFonts w:asciiTheme="majorHAnsi" w:hAnsiTheme="majorHAnsi"/>
          <w:sz w:val="24"/>
          <w:szCs w:val="24"/>
        </w:rPr>
        <w:t>fraud at worst. Better to disclose any past health issues upfront and know where you stand in the event you become disabled from that condition. If you disclose past conditions in the application, the insurer may either exclude the past illness from coverage</w:t>
      </w:r>
      <w:r w:rsidR="001F5177" w:rsidRPr="00134766">
        <w:rPr>
          <w:rFonts w:asciiTheme="majorHAnsi" w:hAnsiTheme="majorHAnsi"/>
          <w:sz w:val="24"/>
          <w:szCs w:val="24"/>
        </w:rPr>
        <w:t xml:space="preserve"> under the DI policy</w:t>
      </w:r>
      <w:r w:rsidR="0024482A" w:rsidRPr="00134766">
        <w:rPr>
          <w:rFonts w:asciiTheme="majorHAnsi" w:hAnsiTheme="majorHAnsi"/>
          <w:sz w:val="24"/>
          <w:szCs w:val="24"/>
        </w:rPr>
        <w:t xml:space="preserve">, or agree to lift the exclusion after a certain period. </w:t>
      </w:r>
      <w:r w:rsidR="001F5177" w:rsidRPr="00134766">
        <w:rPr>
          <w:rFonts w:asciiTheme="majorHAnsi" w:hAnsiTheme="majorHAnsi"/>
          <w:sz w:val="24"/>
          <w:szCs w:val="24"/>
        </w:rPr>
        <w:t xml:space="preserve">Or the insurer may </w:t>
      </w:r>
      <w:r w:rsidR="0024482A" w:rsidRPr="00134766">
        <w:rPr>
          <w:rFonts w:asciiTheme="majorHAnsi" w:hAnsiTheme="majorHAnsi"/>
          <w:sz w:val="24"/>
          <w:szCs w:val="24"/>
        </w:rPr>
        <w:t>simply assess a higher premium payment</w:t>
      </w:r>
      <w:r w:rsidR="001F5177" w:rsidRPr="00134766">
        <w:rPr>
          <w:rFonts w:asciiTheme="majorHAnsi" w:hAnsiTheme="majorHAnsi"/>
          <w:sz w:val="24"/>
          <w:szCs w:val="24"/>
        </w:rPr>
        <w:t xml:space="preserve"> to cover the past illness</w:t>
      </w:r>
      <w:r w:rsidR="0024482A" w:rsidRPr="00134766">
        <w:rPr>
          <w:rFonts w:asciiTheme="majorHAnsi" w:hAnsiTheme="majorHAnsi"/>
          <w:sz w:val="24"/>
          <w:szCs w:val="24"/>
        </w:rPr>
        <w:t>. Again, full disclosure is always important.</w:t>
      </w:r>
    </w:p>
    <w:p w:rsidR="007D1A7A" w:rsidRPr="00134766" w:rsidRDefault="007D1A7A">
      <w:pPr>
        <w:rPr>
          <w:rFonts w:asciiTheme="majorHAnsi" w:hAnsiTheme="majorHAnsi"/>
          <w:sz w:val="24"/>
          <w:szCs w:val="24"/>
        </w:rPr>
      </w:pPr>
      <w:r w:rsidRPr="00134766">
        <w:rPr>
          <w:rFonts w:asciiTheme="majorHAnsi" w:hAnsiTheme="majorHAnsi"/>
          <w:sz w:val="24"/>
          <w:szCs w:val="24"/>
        </w:rPr>
        <w:lastRenderedPageBreak/>
        <w:t>M</w:t>
      </w:r>
      <w:r w:rsidR="00CF420A" w:rsidRPr="00134766">
        <w:rPr>
          <w:rFonts w:asciiTheme="majorHAnsi" w:hAnsiTheme="majorHAnsi"/>
          <w:sz w:val="24"/>
          <w:szCs w:val="24"/>
        </w:rPr>
        <w:t>any</w:t>
      </w:r>
      <w:r w:rsidRPr="00134766">
        <w:rPr>
          <w:rFonts w:asciiTheme="majorHAnsi" w:hAnsiTheme="majorHAnsi"/>
          <w:sz w:val="24"/>
          <w:szCs w:val="24"/>
        </w:rPr>
        <w:t xml:space="preserve"> DI policies do not offset Social Security Disability benefits. But most ERISA LTD insurance </w:t>
      </w:r>
      <w:r w:rsidR="00444180" w:rsidRPr="00134766">
        <w:rPr>
          <w:rFonts w:asciiTheme="majorHAnsi" w:hAnsiTheme="majorHAnsi"/>
          <w:sz w:val="24"/>
          <w:szCs w:val="24"/>
        </w:rPr>
        <w:t xml:space="preserve">benefits are </w:t>
      </w:r>
      <w:r w:rsidRPr="00134766">
        <w:rPr>
          <w:rFonts w:asciiTheme="majorHAnsi" w:hAnsiTheme="majorHAnsi"/>
          <w:sz w:val="24"/>
          <w:szCs w:val="24"/>
        </w:rPr>
        <w:t>offset by an</w:t>
      </w:r>
      <w:r w:rsidR="00444180" w:rsidRPr="00134766">
        <w:rPr>
          <w:rFonts w:asciiTheme="majorHAnsi" w:hAnsiTheme="majorHAnsi"/>
          <w:sz w:val="24"/>
          <w:szCs w:val="24"/>
        </w:rPr>
        <w:t xml:space="preserve"> employee’s award of SSD</w:t>
      </w:r>
      <w:r w:rsidRPr="00134766">
        <w:rPr>
          <w:rFonts w:asciiTheme="majorHAnsi" w:hAnsiTheme="majorHAnsi"/>
          <w:sz w:val="24"/>
          <w:szCs w:val="24"/>
        </w:rPr>
        <w:t xml:space="preserve"> benefits (</w:t>
      </w:r>
      <w:r w:rsidR="00444180" w:rsidRPr="00134766">
        <w:rPr>
          <w:rFonts w:asciiTheme="majorHAnsi" w:hAnsiTheme="majorHAnsi"/>
          <w:sz w:val="24"/>
          <w:szCs w:val="24"/>
        </w:rPr>
        <w:t xml:space="preserve">often </w:t>
      </w:r>
      <w:r w:rsidRPr="00134766">
        <w:rPr>
          <w:rFonts w:asciiTheme="majorHAnsi" w:hAnsiTheme="majorHAnsi"/>
          <w:sz w:val="24"/>
          <w:szCs w:val="24"/>
        </w:rPr>
        <w:t xml:space="preserve">including dependent benefits). However, it is important to review the policy provisions under both the ERISA LTD Plan and the DI policy to determine what </w:t>
      </w:r>
      <w:r w:rsidR="00444180" w:rsidRPr="00134766">
        <w:rPr>
          <w:rFonts w:asciiTheme="majorHAnsi" w:hAnsiTheme="majorHAnsi"/>
          <w:sz w:val="24"/>
          <w:szCs w:val="24"/>
        </w:rPr>
        <w:t>“</w:t>
      </w:r>
      <w:r w:rsidRPr="00134766">
        <w:rPr>
          <w:rFonts w:asciiTheme="majorHAnsi" w:hAnsiTheme="majorHAnsi"/>
          <w:sz w:val="24"/>
          <w:szCs w:val="24"/>
        </w:rPr>
        <w:t>other income</w:t>
      </w:r>
      <w:r w:rsidR="00444180" w:rsidRPr="00134766">
        <w:rPr>
          <w:rFonts w:asciiTheme="majorHAnsi" w:hAnsiTheme="majorHAnsi"/>
          <w:sz w:val="24"/>
          <w:szCs w:val="24"/>
        </w:rPr>
        <w:t>”</w:t>
      </w:r>
      <w:r w:rsidRPr="00134766">
        <w:rPr>
          <w:rFonts w:asciiTheme="majorHAnsi" w:hAnsiTheme="majorHAnsi"/>
          <w:sz w:val="24"/>
          <w:szCs w:val="24"/>
        </w:rPr>
        <w:t xml:space="preserve"> benefits are or are not offset. </w:t>
      </w:r>
      <w:r w:rsidR="00CF420A" w:rsidRPr="00134766">
        <w:rPr>
          <w:rFonts w:asciiTheme="majorHAnsi" w:hAnsiTheme="majorHAnsi"/>
          <w:sz w:val="24"/>
          <w:szCs w:val="24"/>
        </w:rPr>
        <w:t>The Courts generally construe the</w:t>
      </w:r>
      <w:r w:rsidR="00CA7BB0">
        <w:rPr>
          <w:rFonts w:asciiTheme="majorHAnsi" w:hAnsiTheme="majorHAnsi"/>
          <w:sz w:val="24"/>
          <w:szCs w:val="24"/>
        </w:rPr>
        <w:t xml:space="preserve"> LTD Plan and/or the</w:t>
      </w:r>
      <w:r w:rsidR="00CF420A" w:rsidRPr="00134766">
        <w:rPr>
          <w:rFonts w:asciiTheme="majorHAnsi" w:hAnsiTheme="majorHAnsi"/>
          <w:sz w:val="24"/>
          <w:szCs w:val="24"/>
        </w:rPr>
        <w:t xml:space="preserve"> policy language </w:t>
      </w:r>
      <w:r w:rsidR="00CA7BB0">
        <w:rPr>
          <w:rFonts w:asciiTheme="majorHAnsi" w:hAnsiTheme="majorHAnsi"/>
          <w:sz w:val="24"/>
          <w:szCs w:val="24"/>
        </w:rPr>
        <w:t>to control such issues. I</w:t>
      </w:r>
      <w:r w:rsidR="001F5177" w:rsidRPr="00134766">
        <w:rPr>
          <w:rFonts w:asciiTheme="majorHAnsi" w:hAnsiTheme="majorHAnsi"/>
          <w:sz w:val="24"/>
          <w:szCs w:val="24"/>
        </w:rPr>
        <w:t>t is therefore critical to understand the policy provisions prior to filing a claim for disability benefits.</w:t>
      </w:r>
    </w:p>
    <w:p w:rsidR="00E069F9" w:rsidRPr="00134766" w:rsidRDefault="00DC4B0F">
      <w:pPr>
        <w:rPr>
          <w:rFonts w:asciiTheme="majorHAnsi" w:hAnsiTheme="majorHAnsi"/>
          <w:sz w:val="24"/>
          <w:szCs w:val="24"/>
        </w:rPr>
      </w:pPr>
      <w:r w:rsidRPr="00134766">
        <w:rPr>
          <w:rFonts w:asciiTheme="majorHAnsi" w:hAnsiTheme="majorHAnsi"/>
          <w:sz w:val="24"/>
          <w:szCs w:val="24"/>
        </w:rPr>
        <w:t>ERISA</w:t>
      </w:r>
      <w:r w:rsidR="00DB4B76" w:rsidRPr="00134766">
        <w:rPr>
          <w:rFonts w:asciiTheme="majorHAnsi" w:hAnsiTheme="majorHAnsi"/>
          <w:sz w:val="24"/>
          <w:szCs w:val="24"/>
        </w:rPr>
        <w:t xml:space="preserve"> LTD</w:t>
      </w:r>
      <w:r w:rsidRPr="00134766">
        <w:rPr>
          <w:rFonts w:asciiTheme="majorHAnsi" w:hAnsiTheme="majorHAnsi"/>
          <w:sz w:val="24"/>
          <w:szCs w:val="24"/>
        </w:rPr>
        <w:t xml:space="preserve"> monthly </w:t>
      </w:r>
      <w:r w:rsidR="004857D5" w:rsidRPr="00134766">
        <w:rPr>
          <w:rFonts w:asciiTheme="majorHAnsi" w:hAnsiTheme="majorHAnsi"/>
          <w:sz w:val="24"/>
          <w:szCs w:val="24"/>
        </w:rPr>
        <w:t xml:space="preserve">insurance </w:t>
      </w:r>
      <w:r w:rsidRPr="00134766">
        <w:rPr>
          <w:rFonts w:asciiTheme="majorHAnsi" w:hAnsiTheme="majorHAnsi"/>
          <w:sz w:val="24"/>
          <w:szCs w:val="24"/>
        </w:rPr>
        <w:t xml:space="preserve">benefits are usually based on a </w:t>
      </w:r>
      <w:r w:rsidR="00D5780C" w:rsidRPr="00134766">
        <w:rPr>
          <w:rFonts w:asciiTheme="majorHAnsi" w:hAnsiTheme="majorHAnsi"/>
          <w:sz w:val="24"/>
          <w:szCs w:val="24"/>
        </w:rPr>
        <w:t>percentage of an individual’s</w:t>
      </w:r>
      <w:r w:rsidRPr="00134766">
        <w:rPr>
          <w:rFonts w:asciiTheme="majorHAnsi" w:hAnsiTheme="majorHAnsi"/>
          <w:sz w:val="24"/>
          <w:szCs w:val="24"/>
        </w:rPr>
        <w:t xml:space="preserve"> pre</w:t>
      </w:r>
      <w:r w:rsidR="0029562B" w:rsidRPr="00134766">
        <w:rPr>
          <w:rFonts w:asciiTheme="majorHAnsi" w:hAnsiTheme="majorHAnsi"/>
          <w:sz w:val="24"/>
          <w:szCs w:val="24"/>
        </w:rPr>
        <w:t>-</w:t>
      </w:r>
      <w:r w:rsidRPr="00134766">
        <w:rPr>
          <w:rFonts w:asciiTheme="majorHAnsi" w:hAnsiTheme="majorHAnsi"/>
          <w:sz w:val="24"/>
          <w:szCs w:val="24"/>
        </w:rPr>
        <w:t>disability</w:t>
      </w:r>
      <w:r w:rsidR="00D5780C" w:rsidRPr="00134766">
        <w:rPr>
          <w:rFonts w:asciiTheme="majorHAnsi" w:hAnsiTheme="majorHAnsi"/>
          <w:sz w:val="24"/>
          <w:szCs w:val="24"/>
        </w:rPr>
        <w:t xml:space="preserve"> income</w:t>
      </w:r>
      <w:r w:rsidR="004857D5" w:rsidRPr="00134766">
        <w:rPr>
          <w:rFonts w:asciiTheme="majorHAnsi" w:hAnsiTheme="majorHAnsi"/>
          <w:sz w:val="24"/>
          <w:szCs w:val="24"/>
        </w:rPr>
        <w:t xml:space="preserve">, often between 50-70%. </w:t>
      </w:r>
      <w:r w:rsidR="007D1A7A" w:rsidRPr="00134766">
        <w:rPr>
          <w:rFonts w:asciiTheme="majorHAnsi" w:hAnsiTheme="majorHAnsi"/>
          <w:sz w:val="24"/>
          <w:szCs w:val="24"/>
        </w:rPr>
        <w:t xml:space="preserve">The Plan will generally list the classes of employees and the LTD options provided </w:t>
      </w:r>
      <w:r w:rsidR="00D7402B" w:rsidRPr="00134766">
        <w:rPr>
          <w:rFonts w:asciiTheme="majorHAnsi" w:hAnsiTheme="majorHAnsi"/>
          <w:sz w:val="24"/>
          <w:szCs w:val="24"/>
        </w:rPr>
        <w:t>to</w:t>
      </w:r>
      <w:r w:rsidR="007D1A7A" w:rsidRPr="00134766">
        <w:rPr>
          <w:rFonts w:asciiTheme="majorHAnsi" w:hAnsiTheme="majorHAnsi"/>
          <w:sz w:val="24"/>
          <w:szCs w:val="24"/>
        </w:rPr>
        <w:t xml:space="preserve"> each.</w:t>
      </w:r>
      <w:r w:rsidR="00D7402B" w:rsidRPr="00134766">
        <w:rPr>
          <w:rFonts w:asciiTheme="majorHAnsi" w:hAnsiTheme="majorHAnsi"/>
          <w:sz w:val="24"/>
          <w:szCs w:val="24"/>
        </w:rPr>
        <w:t xml:space="preserve"> Some employers pay the entire premium</w:t>
      </w:r>
      <w:r w:rsidR="00E069F9" w:rsidRPr="00134766">
        <w:rPr>
          <w:rFonts w:asciiTheme="majorHAnsi" w:hAnsiTheme="majorHAnsi"/>
          <w:sz w:val="24"/>
          <w:szCs w:val="24"/>
        </w:rPr>
        <w:t xml:space="preserve"> with before-tax dollars, and the LTD benefits are taxed to the employee as ordinary income. O</w:t>
      </w:r>
      <w:r w:rsidR="00D7402B" w:rsidRPr="00134766">
        <w:rPr>
          <w:rFonts w:asciiTheme="majorHAnsi" w:hAnsiTheme="majorHAnsi"/>
          <w:sz w:val="24"/>
          <w:szCs w:val="24"/>
        </w:rPr>
        <w:t>ther</w:t>
      </w:r>
      <w:r w:rsidR="001F5177" w:rsidRPr="00134766">
        <w:rPr>
          <w:rFonts w:asciiTheme="majorHAnsi" w:hAnsiTheme="majorHAnsi"/>
          <w:sz w:val="24"/>
          <w:szCs w:val="24"/>
        </w:rPr>
        <w:t xml:space="preserve"> employers</w:t>
      </w:r>
      <w:r w:rsidR="00D7402B" w:rsidRPr="00134766">
        <w:rPr>
          <w:rFonts w:asciiTheme="majorHAnsi" w:hAnsiTheme="majorHAnsi"/>
          <w:sz w:val="24"/>
          <w:szCs w:val="24"/>
        </w:rPr>
        <w:t xml:space="preserve"> </w:t>
      </w:r>
      <w:r w:rsidR="00E069F9" w:rsidRPr="00134766">
        <w:rPr>
          <w:rFonts w:asciiTheme="majorHAnsi" w:hAnsiTheme="majorHAnsi"/>
          <w:sz w:val="24"/>
          <w:szCs w:val="24"/>
        </w:rPr>
        <w:t>offer group LTD benefits to the emp</w:t>
      </w:r>
      <w:r w:rsidR="00D7402B" w:rsidRPr="00134766">
        <w:rPr>
          <w:rFonts w:asciiTheme="majorHAnsi" w:hAnsiTheme="majorHAnsi"/>
          <w:sz w:val="24"/>
          <w:szCs w:val="24"/>
        </w:rPr>
        <w:t>loyee</w:t>
      </w:r>
      <w:r w:rsidR="005345AD" w:rsidRPr="00134766">
        <w:rPr>
          <w:rFonts w:asciiTheme="majorHAnsi" w:hAnsiTheme="majorHAnsi"/>
          <w:sz w:val="24"/>
          <w:szCs w:val="24"/>
        </w:rPr>
        <w:t xml:space="preserve"> </w:t>
      </w:r>
      <w:r w:rsidR="001F5177" w:rsidRPr="00134766">
        <w:rPr>
          <w:rFonts w:asciiTheme="majorHAnsi" w:hAnsiTheme="majorHAnsi"/>
          <w:sz w:val="24"/>
          <w:szCs w:val="24"/>
        </w:rPr>
        <w:t>and the opportunity to</w:t>
      </w:r>
      <w:r w:rsidR="00D7402B" w:rsidRPr="00134766">
        <w:rPr>
          <w:rFonts w:asciiTheme="majorHAnsi" w:hAnsiTheme="majorHAnsi"/>
          <w:sz w:val="24"/>
          <w:szCs w:val="24"/>
        </w:rPr>
        <w:t xml:space="preserve"> pay </w:t>
      </w:r>
      <w:r w:rsidR="00E069F9" w:rsidRPr="00134766">
        <w:rPr>
          <w:rFonts w:asciiTheme="majorHAnsi" w:hAnsiTheme="majorHAnsi"/>
          <w:sz w:val="24"/>
          <w:szCs w:val="24"/>
        </w:rPr>
        <w:t xml:space="preserve">the premium </w:t>
      </w:r>
      <w:r w:rsidR="00D7402B" w:rsidRPr="00134766">
        <w:rPr>
          <w:rFonts w:asciiTheme="majorHAnsi" w:hAnsiTheme="majorHAnsi"/>
          <w:sz w:val="24"/>
          <w:szCs w:val="24"/>
        </w:rPr>
        <w:t xml:space="preserve">through payroll deductions using after tax dollars. To determine whether the </w:t>
      </w:r>
      <w:r w:rsidR="00E069F9" w:rsidRPr="00134766">
        <w:rPr>
          <w:rFonts w:asciiTheme="majorHAnsi" w:hAnsiTheme="majorHAnsi"/>
          <w:sz w:val="24"/>
          <w:szCs w:val="24"/>
        </w:rPr>
        <w:t>benefits are taxable, the employee must determine whether the employer or the employee is paying all or part of the premium.</w:t>
      </w:r>
      <w:r w:rsidR="00552D0D" w:rsidRPr="00134766">
        <w:rPr>
          <w:rFonts w:asciiTheme="majorHAnsi" w:hAnsiTheme="majorHAnsi"/>
          <w:sz w:val="24"/>
          <w:szCs w:val="24"/>
        </w:rPr>
        <w:t xml:space="preserve"> </w:t>
      </w:r>
      <w:r w:rsidR="00E069F9" w:rsidRPr="00134766">
        <w:rPr>
          <w:rFonts w:asciiTheme="majorHAnsi" w:hAnsiTheme="majorHAnsi"/>
          <w:sz w:val="24"/>
          <w:szCs w:val="24"/>
        </w:rPr>
        <w:t xml:space="preserve">And the employee should always consult with a tax advisor about whether </w:t>
      </w:r>
      <w:r w:rsidR="00D26F00" w:rsidRPr="00134766">
        <w:rPr>
          <w:rFonts w:asciiTheme="majorHAnsi" w:hAnsiTheme="majorHAnsi"/>
          <w:sz w:val="24"/>
          <w:szCs w:val="24"/>
        </w:rPr>
        <w:t xml:space="preserve">and to what extent </w:t>
      </w:r>
      <w:r w:rsidR="00E069F9" w:rsidRPr="00134766">
        <w:rPr>
          <w:rFonts w:asciiTheme="majorHAnsi" w:hAnsiTheme="majorHAnsi"/>
          <w:sz w:val="24"/>
          <w:szCs w:val="24"/>
        </w:rPr>
        <w:t>the benefits are taxable</w:t>
      </w:r>
      <w:r w:rsidR="005345AD" w:rsidRPr="00134766">
        <w:rPr>
          <w:rFonts w:asciiTheme="majorHAnsi" w:hAnsiTheme="majorHAnsi"/>
          <w:sz w:val="24"/>
          <w:szCs w:val="24"/>
        </w:rPr>
        <w:t>.</w:t>
      </w:r>
    </w:p>
    <w:p w:rsidR="00DC4B0F" w:rsidRPr="00134766" w:rsidRDefault="00552D0D">
      <w:pPr>
        <w:rPr>
          <w:rFonts w:asciiTheme="majorHAnsi" w:hAnsiTheme="majorHAnsi"/>
          <w:sz w:val="24"/>
          <w:szCs w:val="24"/>
        </w:rPr>
      </w:pPr>
      <w:r w:rsidRPr="00134766">
        <w:rPr>
          <w:rFonts w:asciiTheme="majorHAnsi" w:hAnsiTheme="majorHAnsi"/>
          <w:sz w:val="24"/>
          <w:szCs w:val="24"/>
        </w:rPr>
        <w:t xml:space="preserve">The </w:t>
      </w:r>
      <w:r w:rsidR="005345AD" w:rsidRPr="00134766">
        <w:rPr>
          <w:rFonts w:asciiTheme="majorHAnsi" w:hAnsiTheme="majorHAnsi"/>
          <w:sz w:val="24"/>
          <w:szCs w:val="24"/>
        </w:rPr>
        <w:t xml:space="preserve">LTD </w:t>
      </w:r>
      <w:r w:rsidRPr="00134766">
        <w:rPr>
          <w:rFonts w:asciiTheme="majorHAnsi" w:hAnsiTheme="majorHAnsi"/>
          <w:sz w:val="24"/>
          <w:szCs w:val="24"/>
        </w:rPr>
        <w:t>Plan will also define “pre-disability income” and whether bonuses, commissions et</w:t>
      </w:r>
      <w:r w:rsidR="00BD2F99">
        <w:rPr>
          <w:rFonts w:asciiTheme="majorHAnsi" w:hAnsiTheme="majorHAnsi"/>
          <w:sz w:val="24"/>
          <w:szCs w:val="24"/>
        </w:rPr>
        <w:t>c.,</w:t>
      </w:r>
      <w:r w:rsidRPr="00134766">
        <w:rPr>
          <w:rFonts w:asciiTheme="majorHAnsi" w:hAnsiTheme="majorHAnsi"/>
          <w:sz w:val="24"/>
          <w:szCs w:val="24"/>
        </w:rPr>
        <w:t xml:space="preserve"> are included in that </w:t>
      </w:r>
      <w:r w:rsidR="00D26F00" w:rsidRPr="00134766">
        <w:rPr>
          <w:rFonts w:asciiTheme="majorHAnsi" w:hAnsiTheme="majorHAnsi"/>
          <w:sz w:val="24"/>
          <w:szCs w:val="24"/>
        </w:rPr>
        <w:t>calculation</w:t>
      </w:r>
      <w:r w:rsidR="005345AD" w:rsidRPr="00134766">
        <w:rPr>
          <w:rFonts w:asciiTheme="majorHAnsi" w:hAnsiTheme="majorHAnsi"/>
          <w:sz w:val="24"/>
          <w:szCs w:val="24"/>
        </w:rPr>
        <w:t xml:space="preserve"> or whethe</w:t>
      </w:r>
      <w:r w:rsidR="00BD2F99">
        <w:rPr>
          <w:rFonts w:asciiTheme="majorHAnsi" w:hAnsiTheme="majorHAnsi"/>
          <w:sz w:val="24"/>
          <w:szCs w:val="24"/>
        </w:rPr>
        <w:t xml:space="preserve">r it </w:t>
      </w:r>
      <w:r w:rsidR="00D26F00" w:rsidRPr="00134766">
        <w:rPr>
          <w:rFonts w:asciiTheme="majorHAnsi" w:hAnsiTheme="majorHAnsi"/>
          <w:sz w:val="24"/>
          <w:szCs w:val="24"/>
        </w:rPr>
        <w:t xml:space="preserve">is limited to </w:t>
      </w:r>
      <w:r w:rsidR="005345AD" w:rsidRPr="00134766">
        <w:rPr>
          <w:rFonts w:asciiTheme="majorHAnsi" w:hAnsiTheme="majorHAnsi"/>
          <w:sz w:val="24"/>
          <w:szCs w:val="24"/>
        </w:rPr>
        <w:t>base income.</w:t>
      </w:r>
    </w:p>
    <w:p w:rsidR="00693154" w:rsidRPr="00134766" w:rsidRDefault="00060339">
      <w:pPr>
        <w:rPr>
          <w:rFonts w:asciiTheme="majorHAnsi" w:hAnsiTheme="majorHAnsi"/>
          <w:sz w:val="24"/>
          <w:szCs w:val="24"/>
        </w:rPr>
        <w:sectPr w:rsidR="00693154" w:rsidRPr="00134766" w:rsidSect="007A072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360"/>
        </w:sectPr>
      </w:pPr>
      <w:r w:rsidRPr="00134766">
        <w:rPr>
          <w:rFonts w:asciiTheme="majorHAnsi" w:hAnsiTheme="majorHAnsi"/>
          <w:sz w:val="24"/>
          <w:szCs w:val="24"/>
        </w:rPr>
        <w:t>“</w:t>
      </w:r>
      <w:r w:rsidR="007D1A7A" w:rsidRPr="00134766">
        <w:rPr>
          <w:rFonts w:asciiTheme="majorHAnsi" w:hAnsiTheme="majorHAnsi"/>
          <w:sz w:val="24"/>
          <w:szCs w:val="24"/>
        </w:rPr>
        <w:t>D</w:t>
      </w:r>
      <w:r w:rsidR="0029562B" w:rsidRPr="00134766">
        <w:rPr>
          <w:rFonts w:asciiTheme="majorHAnsi" w:hAnsiTheme="majorHAnsi"/>
          <w:sz w:val="24"/>
          <w:szCs w:val="24"/>
        </w:rPr>
        <w:t>isability</w:t>
      </w:r>
      <w:r w:rsidRPr="00134766">
        <w:rPr>
          <w:rFonts w:asciiTheme="majorHAnsi" w:hAnsiTheme="majorHAnsi"/>
          <w:sz w:val="24"/>
          <w:szCs w:val="24"/>
        </w:rPr>
        <w:t>”</w:t>
      </w:r>
      <w:r w:rsidR="00D5780C" w:rsidRPr="00134766">
        <w:rPr>
          <w:rFonts w:asciiTheme="majorHAnsi" w:hAnsiTheme="majorHAnsi"/>
          <w:sz w:val="24"/>
          <w:szCs w:val="24"/>
        </w:rPr>
        <w:t xml:space="preserve"> is defined </w:t>
      </w:r>
      <w:r w:rsidR="007D1A7A" w:rsidRPr="00134766">
        <w:rPr>
          <w:rFonts w:asciiTheme="majorHAnsi" w:hAnsiTheme="majorHAnsi"/>
          <w:sz w:val="24"/>
          <w:szCs w:val="24"/>
        </w:rPr>
        <w:t>under the ERISA LTD Plan</w:t>
      </w:r>
      <w:r w:rsidR="00D5780C" w:rsidRPr="00134766">
        <w:rPr>
          <w:rFonts w:asciiTheme="majorHAnsi" w:hAnsiTheme="majorHAnsi"/>
          <w:sz w:val="24"/>
          <w:szCs w:val="24"/>
        </w:rPr>
        <w:t>, and</w:t>
      </w:r>
      <w:r w:rsidR="007D1A7A" w:rsidRPr="00134766">
        <w:rPr>
          <w:rFonts w:asciiTheme="majorHAnsi" w:hAnsiTheme="majorHAnsi"/>
          <w:sz w:val="24"/>
          <w:szCs w:val="24"/>
        </w:rPr>
        <w:t xml:space="preserve"> within the DI policy.</w:t>
      </w:r>
      <w:r w:rsidR="00D5780C" w:rsidRPr="00134766">
        <w:rPr>
          <w:rFonts w:asciiTheme="majorHAnsi" w:hAnsiTheme="majorHAnsi"/>
          <w:sz w:val="24"/>
          <w:szCs w:val="24"/>
        </w:rPr>
        <w:t xml:space="preserve">  </w:t>
      </w:r>
      <w:r w:rsidR="00F23015" w:rsidRPr="00134766">
        <w:rPr>
          <w:rFonts w:asciiTheme="majorHAnsi" w:hAnsiTheme="majorHAnsi"/>
          <w:sz w:val="24"/>
          <w:szCs w:val="24"/>
        </w:rPr>
        <w:t xml:space="preserve">The definition of disability can vary wildly but most frequently, “disability” requires </w:t>
      </w:r>
      <w:r w:rsidR="00D5780C" w:rsidRPr="00134766">
        <w:rPr>
          <w:rFonts w:asciiTheme="majorHAnsi" w:hAnsiTheme="majorHAnsi"/>
          <w:sz w:val="24"/>
          <w:szCs w:val="24"/>
        </w:rPr>
        <w:t xml:space="preserve">proof that the claimant cannot perform the material and substantial duties of his/her own occupation, and/or proof that the claimant cannot perform the duties </w:t>
      </w:r>
      <w:r w:rsidR="00693154" w:rsidRPr="00134766">
        <w:rPr>
          <w:rFonts w:asciiTheme="majorHAnsi" w:hAnsiTheme="majorHAnsi"/>
          <w:sz w:val="24"/>
          <w:szCs w:val="24"/>
        </w:rPr>
        <w:t>of any occupation.</w:t>
      </w:r>
      <w:r w:rsidR="00693154" w:rsidRPr="00134766">
        <w:rPr>
          <w:rStyle w:val="EndnoteReference"/>
          <w:rFonts w:asciiTheme="majorHAnsi" w:hAnsiTheme="majorHAnsi" w:cs="Times New Roman"/>
          <w:sz w:val="24"/>
          <w:szCs w:val="24"/>
        </w:rPr>
        <w:endnoteReference w:id="3"/>
      </w:r>
    </w:p>
    <w:p w:rsidR="00052C5E" w:rsidRPr="00134766" w:rsidRDefault="00060339" w:rsidP="00052C5E">
      <w:pPr>
        <w:spacing w:before="100" w:beforeAutospacing="1" w:after="100" w:afterAutospacing="1" w:line="240" w:lineRule="auto"/>
        <w:rPr>
          <w:rFonts w:asciiTheme="majorHAnsi" w:eastAsia="Times New Roman" w:hAnsiTheme="majorHAnsi" w:cs="Times New Roman"/>
          <w:b/>
          <w:sz w:val="24"/>
          <w:szCs w:val="24"/>
        </w:rPr>
      </w:pPr>
      <w:r w:rsidRPr="00134766">
        <w:rPr>
          <w:rFonts w:asciiTheme="majorHAnsi" w:eastAsia="Times New Roman" w:hAnsiTheme="majorHAnsi" w:cs="Times New Roman"/>
          <w:b/>
          <w:sz w:val="24"/>
          <w:szCs w:val="24"/>
        </w:rPr>
        <w:t>Basic considerations for the ME</w:t>
      </w:r>
      <w:r w:rsidR="00932FF6" w:rsidRPr="00134766">
        <w:rPr>
          <w:rFonts w:asciiTheme="majorHAnsi" w:eastAsia="Times New Roman" w:hAnsiTheme="majorHAnsi" w:cs="Times New Roman"/>
          <w:b/>
          <w:sz w:val="24"/>
          <w:szCs w:val="24"/>
        </w:rPr>
        <w:t>/CFS</w:t>
      </w:r>
      <w:r w:rsidRPr="00134766">
        <w:rPr>
          <w:rFonts w:asciiTheme="majorHAnsi" w:eastAsia="Times New Roman" w:hAnsiTheme="majorHAnsi" w:cs="Times New Roman"/>
          <w:b/>
          <w:sz w:val="24"/>
          <w:szCs w:val="24"/>
        </w:rPr>
        <w:t xml:space="preserve"> claimant </w:t>
      </w:r>
      <w:r w:rsidR="00EE04D2" w:rsidRPr="00134766">
        <w:rPr>
          <w:rFonts w:asciiTheme="majorHAnsi" w:eastAsia="Times New Roman" w:hAnsiTheme="majorHAnsi" w:cs="Times New Roman"/>
          <w:b/>
          <w:sz w:val="24"/>
          <w:szCs w:val="24"/>
        </w:rPr>
        <w:t xml:space="preserve">when filing a </w:t>
      </w:r>
      <w:proofErr w:type="gramStart"/>
      <w:r w:rsidR="00EE04D2" w:rsidRPr="00134766">
        <w:rPr>
          <w:rFonts w:asciiTheme="majorHAnsi" w:eastAsia="Times New Roman" w:hAnsiTheme="majorHAnsi" w:cs="Times New Roman"/>
          <w:b/>
          <w:sz w:val="24"/>
          <w:szCs w:val="24"/>
        </w:rPr>
        <w:t>l</w:t>
      </w:r>
      <w:r w:rsidR="00DB4B76" w:rsidRPr="00134766">
        <w:rPr>
          <w:rFonts w:asciiTheme="majorHAnsi" w:eastAsia="Times New Roman" w:hAnsiTheme="majorHAnsi" w:cs="Times New Roman"/>
          <w:b/>
          <w:sz w:val="24"/>
          <w:szCs w:val="24"/>
        </w:rPr>
        <w:t>ong term</w:t>
      </w:r>
      <w:proofErr w:type="gramEnd"/>
      <w:r w:rsidR="00DB4B76" w:rsidRPr="00134766">
        <w:rPr>
          <w:rFonts w:asciiTheme="majorHAnsi" w:eastAsia="Times New Roman" w:hAnsiTheme="majorHAnsi" w:cs="Times New Roman"/>
          <w:b/>
          <w:sz w:val="24"/>
          <w:szCs w:val="24"/>
        </w:rPr>
        <w:t xml:space="preserve"> </w:t>
      </w:r>
      <w:r w:rsidR="00CF7147" w:rsidRPr="00134766">
        <w:rPr>
          <w:rFonts w:asciiTheme="majorHAnsi" w:eastAsia="Times New Roman" w:hAnsiTheme="majorHAnsi" w:cs="Times New Roman"/>
          <w:b/>
          <w:sz w:val="24"/>
          <w:szCs w:val="24"/>
        </w:rPr>
        <w:t xml:space="preserve">disability </w:t>
      </w:r>
      <w:r w:rsidR="00DB4B76" w:rsidRPr="00134766">
        <w:rPr>
          <w:rFonts w:asciiTheme="majorHAnsi" w:eastAsia="Times New Roman" w:hAnsiTheme="majorHAnsi" w:cs="Times New Roman"/>
          <w:b/>
          <w:sz w:val="24"/>
          <w:szCs w:val="24"/>
        </w:rPr>
        <w:t xml:space="preserve">insurance </w:t>
      </w:r>
      <w:r w:rsidRPr="00134766">
        <w:rPr>
          <w:rFonts w:asciiTheme="majorHAnsi" w:eastAsia="Times New Roman" w:hAnsiTheme="majorHAnsi" w:cs="Times New Roman"/>
          <w:b/>
          <w:sz w:val="24"/>
          <w:szCs w:val="24"/>
        </w:rPr>
        <w:t>claim</w:t>
      </w:r>
      <w:r w:rsidR="00CF7147" w:rsidRPr="00134766">
        <w:rPr>
          <w:rFonts w:asciiTheme="majorHAnsi" w:eastAsia="Times New Roman" w:hAnsiTheme="majorHAnsi" w:cs="Times New Roman"/>
          <w:b/>
          <w:sz w:val="24"/>
          <w:szCs w:val="24"/>
        </w:rPr>
        <w:t xml:space="preserve"> </w:t>
      </w:r>
    </w:p>
    <w:p w:rsidR="00625948" w:rsidRPr="00134766" w:rsidRDefault="00711A6C" w:rsidP="00737C49">
      <w:pPr>
        <w:pStyle w:val="ListParagraph"/>
        <w:numPr>
          <w:ilvl w:val="0"/>
          <w:numId w:val="37"/>
        </w:numPr>
        <w:spacing w:before="100" w:beforeAutospacing="1" w:after="100" w:afterAutospacing="1" w:line="240" w:lineRule="auto"/>
        <w:rPr>
          <w:rFonts w:asciiTheme="majorHAnsi" w:eastAsia="Times New Roman" w:hAnsiTheme="majorHAnsi" w:cs="Times New Roman"/>
          <w:b/>
          <w:sz w:val="24"/>
          <w:szCs w:val="24"/>
        </w:rPr>
      </w:pPr>
      <w:r w:rsidRPr="00134766">
        <w:rPr>
          <w:rFonts w:asciiTheme="majorHAnsi" w:eastAsia="Times New Roman" w:hAnsiTheme="majorHAnsi" w:cs="Times New Roman"/>
          <w:b/>
          <w:sz w:val="24"/>
          <w:szCs w:val="24"/>
        </w:rPr>
        <w:t>Find a ME</w:t>
      </w:r>
      <w:r w:rsidR="00932FF6" w:rsidRPr="00134766">
        <w:rPr>
          <w:rFonts w:asciiTheme="majorHAnsi" w:eastAsia="Times New Roman" w:hAnsiTheme="majorHAnsi" w:cs="Times New Roman"/>
          <w:b/>
          <w:sz w:val="24"/>
          <w:szCs w:val="24"/>
        </w:rPr>
        <w:t>/CFS</w:t>
      </w:r>
      <w:r w:rsidRPr="00134766">
        <w:rPr>
          <w:rFonts w:asciiTheme="majorHAnsi" w:eastAsia="Times New Roman" w:hAnsiTheme="majorHAnsi" w:cs="Times New Roman"/>
          <w:b/>
          <w:sz w:val="24"/>
          <w:szCs w:val="24"/>
        </w:rPr>
        <w:t xml:space="preserve"> medical specialist</w:t>
      </w:r>
      <w:r w:rsidR="00060339" w:rsidRPr="00134766">
        <w:rPr>
          <w:rFonts w:asciiTheme="majorHAnsi" w:eastAsia="Times New Roman" w:hAnsiTheme="majorHAnsi" w:cs="Times New Roman"/>
          <w:b/>
          <w:sz w:val="24"/>
          <w:szCs w:val="24"/>
        </w:rPr>
        <w:t xml:space="preserve"> to provide treatment and not just serve as a consult</w:t>
      </w:r>
      <w:r w:rsidR="00DE58DA" w:rsidRPr="00134766">
        <w:rPr>
          <w:rFonts w:asciiTheme="majorHAnsi" w:eastAsia="Times New Roman" w:hAnsiTheme="majorHAnsi" w:cs="Times New Roman"/>
          <w:b/>
          <w:sz w:val="24"/>
          <w:szCs w:val="24"/>
        </w:rPr>
        <w:t>ant</w:t>
      </w:r>
      <w:r w:rsidR="00625948" w:rsidRPr="00134766">
        <w:rPr>
          <w:rFonts w:asciiTheme="majorHAnsi" w:eastAsia="Times New Roman" w:hAnsiTheme="majorHAnsi" w:cs="Times New Roman"/>
          <w:b/>
          <w:sz w:val="24"/>
          <w:szCs w:val="24"/>
        </w:rPr>
        <w:t>.</w:t>
      </w:r>
    </w:p>
    <w:p w:rsidR="001D38C3" w:rsidRPr="00813E87" w:rsidRDefault="0029562B" w:rsidP="00625948">
      <w:pPr>
        <w:spacing w:before="100" w:beforeAutospacing="1" w:after="100" w:afterAutospacing="1" w:line="240" w:lineRule="auto"/>
        <w:rPr>
          <w:rFonts w:asciiTheme="majorHAnsi" w:eastAsia="Times New Roman" w:hAnsiTheme="majorHAnsi" w:cs="Times New Roman"/>
          <w:sz w:val="24"/>
          <w:szCs w:val="24"/>
        </w:rPr>
      </w:pPr>
      <w:r w:rsidRPr="00134766">
        <w:rPr>
          <w:rFonts w:asciiTheme="majorHAnsi" w:eastAsia="Times New Roman" w:hAnsiTheme="majorHAnsi" w:cs="Times New Roman"/>
          <w:sz w:val="24"/>
          <w:szCs w:val="24"/>
        </w:rPr>
        <w:t>The most important starting point for anyone suffering from ME</w:t>
      </w:r>
      <w:r w:rsidR="00932FF6" w:rsidRPr="00134766">
        <w:rPr>
          <w:rFonts w:asciiTheme="majorHAnsi" w:eastAsia="Times New Roman" w:hAnsiTheme="majorHAnsi" w:cs="Times New Roman"/>
          <w:sz w:val="24"/>
          <w:szCs w:val="24"/>
        </w:rPr>
        <w:t>/CFS</w:t>
      </w:r>
      <w:r w:rsidRPr="00134766">
        <w:rPr>
          <w:rFonts w:asciiTheme="majorHAnsi" w:eastAsia="Times New Roman" w:hAnsiTheme="majorHAnsi" w:cs="Times New Roman"/>
          <w:sz w:val="24"/>
          <w:szCs w:val="24"/>
        </w:rPr>
        <w:t>, whether filing a disability claim or not, is to obtain medical care from a physician or other medical provider</w:t>
      </w:r>
      <w:r w:rsidR="00DE58DA" w:rsidRPr="00134766">
        <w:rPr>
          <w:rFonts w:asciiTheme="majorHAnsi" w:eastAsia="Times New Roman" w:hAnsiTheme="majorHAnsi" w:cs="Times New Roman"/>
          <w:sz w:val="24"/>
          <w:szCs w:val="24"/>
        </w:rPr>
        <w:t xml:space="preserve"> </w:t>
      </w:r>
      <w:r w:rsidRPr="00134766">
        <w:rPr>
          <w:rFonts w:asciiTheme="majorHAnsi" w:eastAsia="Times New Roman" w:hAnsiTheme="majorHAnsi" w:cs="Times New Roman"/>
          <w:sz w:val="24"/>
          <w:szCs w:val="24"/>
        </w:rPr>
        <w:t>experienced in treating patients</w:t>
      </w:r>
      <w:r w:rsidR="00FE215E" w:rsidRPr="00134766">
        <w:rPr>
          <w:rFonts w:asciiTheme="majorHAnsi" w:eastAsia="Times New Roman" w:hAnsiTheme="majorHAnsi" w:cs="Times New Roman"/>
          <w:sz w:val="24"/>
          <w:szCs w:val="24"/>
        </w:rPr>
        <w:t xml:space="preserve"> with ME</w:t>
      </w:r>
      <w:r w:rsidR="00932FF6" w:rsidRPr="00134766">
        <w:rPr>
          <w:rFonts w:asciiTheme="majorHAnsi" w:eastAsia="Times New Roman" w:hAnsiTheme="majorHAnsi" w:cs="Times New Roman"/>
          <w:sz w:val="24"/>
          <w:szCs w:val="24"/>
        </w:rPr>
        <w:t>/CFS</w:t>
      </w:r>
      <w:r w:rsidR="00FE215E" w:rsidRPr="00134766">
        <w:rPr>
          <w:rFonts w:asciiTheme="majorHAnsi" w:eastAsia="Times New Roman" w:hAnsiTheme="majorHAnsi" w:cs="Times New Roman"/>
          <w:sz w:val="24"/>
          <w:szCs w:val="24"/>
        </w:rPr>
        <w:t xml:space="preserve"> </w:t>
      </w:r>
      <w:r w:rsidR="00DE58DA" w:rsidRPr="00134766">
        <w:rPr>
          <w:rFonts w:asciiTheme="majorHAnsi" w:eastAsia="Times New Roman" w:hAnsiTheme="majorHAnsi" w:cs="Times New Roman"/>
          <w:sz w:val="24"/>
          <w:szCs w:val="24"/>
        </w:rPr>
        <w:t xml:space="preserve">who </w:t>
      </w:r>
      <w:r w:rsidRPr="00134766">
        <w:rPr>
          <w:rFonts w:asciiTheme="majorHAnsi" w:eastAsia="Times New Roman" w:hAnsiTheme="majorHAnsi" w:cs="Times New Roman"/>
          <w:sz w:val="24"/>
          <w:szCs w:val="24"/>
        </w:rPr>
        <w:t>understands the myriad symptoms</w:t>
      </w:r>
      <w:r w:rsidR="00932FF6" w:rsidRPr="00134766">
        <w:rPr>
          <w:rFonts w:asciiTheme="majorHAnsi" w:eastAsia="Times New Roman" w:hAnsiTheme="majorHAnsi" w:cs="Times New Roman"/>
          <w:sz w:val="24"/>
          <w:szCs w:val="24"/>
        </w:rPr>
        <w:t xml:space="preserve"> </w:t>
      </w:r>
      <w:r w:rsidRPr="00134766">
        <w:rPr>
          <w:rFonts w:asciiTheme="majorHAnsi" w:eastAsia="Times New Roman" w:hAnsiTheme="majorHAnsi" w:cs="Times New Roman"/>
          <w:sz w:val="24"/>
          <w:szCs w:val="24"/>
        </w:rPr>
        <w:t>patients experience.</w:t>
      </w:r>
      <w:r w:rsidR="00FE215E" w:rsidRPr="00134766">
        <w:rPr>
          <w:rFonts w:asciiTheme="majorHAnsi" w:eastAsia="Times New Roman" w:hAnsiTheme="majorHAnsi" w:cs="Times New Roman"/>
          <w:sz w:val="24"/>
          <w:szCs w:val="24"/>
        </w:rPr>
        <w:t xml:space="preserve">  </w:t>
      </w:r>
      <w:r w:rsidR="00625948" w:rsidRPr="00134766">
        <w:rPr>
          <w:rFonts w:asciiTheme="majorHAnsi" w:eastAsia="Times New Roman" w:hAnsiTheme="majorHAnsi" w:cs="Times New Roman"/>
          <w:sz w:val="24"/>
          <w:szCs w:val="24"/>
        </w:rPr>
        <w:t xml:space="preserve">If your physician is uninformed about your illness, you will not </w:t>
      </w:r>
      <w:r w:rsidR="00D26F00" w:rsidRPr="00134766">
        <w:rPr>
          <w:rFonts w:asciiTheme="majorHAnsi" w:eastAsia="Times New Roman" w:hAnsiTheme="majorHAnsi" w:cs="Times New Roman"/>
          <w:sz w:val="24"/>
          <w:szCs w:val="24"/>
        </w:rPr>
        <w:t>only not receive proper medical treatment, you may be misdiagnosed and led down a path that will undermine your efforts to address your symptoms and document your disability claim</w:t>
      </w:r>
      <w:r w:rsidR="00625948" w:rsidRPr="00134766">
        <w:rPr>
          <w:rFonts w:asciiTheme="majorHAnsi" w:eastAsia="Times New Roman" w:hAnsiTheme="majorHAnsi" w:cs="Times New Roman"/>
          <w:sz w:val="24"/>
          <w:szCs w:val="24"/>
        </w:rPr>
        <w:t>.</w:t>
      </w:r>
      <w:r w:rsidR="00813E87">
        <w:rPr>
          <w:rFonts w:asciiTheme="majorHAnsi" w:eastAsia="Times New Roman" w:hAnsiTheme="majorHAnsi" w:cs="Times New Roman"/>
          <w:sz w:val="24"/>
          <w:szCs w:val="24"/>
        </w:rPr>
        <w:t xml:space="preserve"> And as importantly, the LTD insurance carrier</w:t>
      </w:r>
      <w:r w:rsidR="007A0C3E">
        <w:rPr>
          <w:rFonts w:asciiTheme="majorHAnsi" w:eastAsia="Times New Roman" w:hAnsiTheme="majorHAnsi" w:cs="Times New Roman"/>
          <w:sz w:val="24"/>
          <w:szCs w:val="24"/>
        </w:rPr>
        <w:t xml:space="preserve">s do not ordinarily </w:t>
      </w:r>
      <w:r w:rsidR="00813E87">
        <w:rPr>
          <w:rFonts w:asciiTheme="majorHAnsi" w:eastAsia="Times New Roman" w:hAnsiTheme="majorHAnsi" w:cs="Times New Roman"/>
          <w:sz w:val="24"/>
          <w:szCs w:val="24"/>
        </w:rPr>
        <w:t>retain medical vendors with expertise in ME/CFS.  As a result, your specialist will</w:t>
      </w:r>
      <w:r w:rsidR="007A0C3E">
        <w:rPr>
          <w:rFonts w:asciiTheme="majorHAnsi" w:eastAsia="Times New Roman" w:hAnsiTheme="majorHAnsi" w:cs="Times New Roman"/>
          <w:sz w:val="24"/>
          <w:szCs w:val="24"/>
        </w:rPr>
        <w:t xml:space="preserve"> bring knowledge and expertise</w:t>
      </w:r>
      <w:r w:rsidR="00813E87">
        <w:rPr>
          <w:rFonts w:asciiTheme="majorHAnsi" w:eastAsia="Times New Roman" w:hAnsiTheme="majorHAnsi" w:cs="Times New Roman"/>
          <w:sz w:val="24"/>
          <w:szCs w:val="24"/>
        </w:rPr>
        <w:t xml:space="preserve"> in terms of credentials during the claim process, and in any future litigation.</w:t>
      </w:r>
    </w:p>
    <w:p w:rsidR="008F3D34" w:rsidRPr="00134766" w:rsidRDefault="00FE215E" w:rsidP="00052C5E">
      <w:pPr>
        <w:spacing w:before="100" w:beforeAutospacing="1" w:after="100" w:afterAutospacing="1" w:line="240" w:lineRule="auto"/>
        <w:rPr>
          <w:rFonts w:asciiTheme="majorHAnsi" w:eastAsia="Times New Roman" w:hAnsiTheme="majorHAnsi" w:cs="Times New Roman"/>
          <w:sz w:val="24"/>
          <w:szCs w:val="24"/>
        </w:rPr>
      </w:pPr>
      <w:r w:rsidRPr="00134766">
        <w:rPr>
          <w:rFonts w:asciiTheme="majorHAnsi" w:eastAsia="Times New Roman" w:hAnsiTheme="majorHAnsi" w:cs="Times New Roman"/>
          <w:sz w:val="24"/>
          <w:szCs w:val="24"/>
        </w:rPr>
        <w:lastRenderedPageBreak/>
        <w:t>The ME</w:t>
      </w:r>
      <w:r w:rsidR="00932FF6" w:rsidRPr="00134766">
        <w:rPr>
          <w:rFonts w:asciiTheme="majorHAnsi" w:eastAsia="Times New Roman" w:hAnsiTheme="majorHAnsi" w:cs="Times New Roman"/>
          <w:sz w:val="24"/>
          <w:szCs w:val="24"/>
        </w:rPr>
        <w:t>/CFS</w:t>
      </w:r>
      <w:r w:rsidRPr="00134766">
        <w:rPr>
          <w:rFonts w:asciiTheme="majorHAnsi" w:eastAsia="Times New Roman" w:hAnsiTheme="majorHAnsi" w:cs="Times New Roman"/>
          <w:sz w:val="24"/>
          <w:szCs w:val="24"/>
        </w:rPr>
        <w:t xml:space="preserve"> </w:t>
      </w:r>
      <w:r w:rsidR="007A0C3E">
        <w:rPr>
          <w:rFonts w:asciiTheme="majorHAnsi" w:eastAsia="Times New Roman" w:hAnsiTheme="majorHAnsi" w:cs="Times New Roman"/>
          <w:sz w:val="24"/>
          <w:szCs w:val="24"/>
        </w:rPr>
        <w:t xml:space="preserve">treating </w:t>
      </w:r>
      <w:r w:rsidRPr="00134766">
        <w:rPr>
          <w:rFonts w:asciiTheme="majorHAnsi" w:eastAsia="Times New Roman" w:hAnsiTheme="majorHAnsi" w:cs="Times New Roman"/>
          <w:sz w:val="24"/>
          <w:szCs w:val="24"/>
        </w:rPr>
        <w:t xml:space="preserve">physician will often be the first person to recommend filing for disability when the patient’s symptoms are prolonged and severe. </w:t>
      </w:r>
      <w:r w:rsidR="00625948" w:rsidRPr="00134766">
        <w:rPr>
          <w:rFonts w:asciiTheme="majorHAnsi" w:eastAsia="Times New Roman" w:hAnsiTheme="majorHAnsi" w:cs="Times New Roman"/>
          <w:sz w:val="24"/>
          <w:szCs w:val="24"/>
        </w:rPr>
        <w:t xml:space="preserve">A </w:t>
      </w:r>
      <w:r w:rsidRPr="00134766">
        <w:rPr>
          <w:rFonts w:asciiTheme="majorHAnsi" w:eastAsia="Times New Roman" w:hAnsiTheme="majorHAnsi" w:cs="Times New Roman"/>
          <w:sz w:val="24"/>
          <w:szCs w:val="24"/>
        </w:rPr>
        <w:t xml:space="preserve">patient must accurately report the symptoms/limitations </w:t>
      </w:r>
      <w:r w:rsidR="00711A6C" w:rsidRPr="00134766">
        <w:rPr>
          <w:rFonts w:asciiTheme="majorHAnsi" w:eastAsia="Times New Roman" w:hAnsiTheme="majorHAnsi" w:cs="Times New Roman"/>
          <w:sz w:val="24"/>
          <w:szCs w:val="24"/>
        </w:rPr>
        <w:t>to the physician</w:t>
      </w:r>
      <w:r w:rsidR="00DE58DA" w:rsidRPr="00134766">
        <w:rPr>
          <w:rFonts w:asciiTheme="majorHAnsi" w:eastAsia="Times New Roman" w:hAnsiTheme="majorHAnsi" w:cs="Times New Roman"/>
          <w:sz w:val="24"/>
          <w:szCs w:val="24"/>
        </w:rPr>
        <w:t xml:space="preserve"> to assist in devising</w:t>
      </w:r>
      <w:r w:rsidR="00D26F00" w:rsidRPr="00134766">
        <w:rPr>
          <w:rFonts w:asciiTheme="majorHAnsi" w:eastAsia="Times New Roman" w:hAnsiTheme="majorHAnsi" w:cs="Times New Roman"/>
          <w:sz w:val="24"/>
          <w:szCs w:val="24"/>
        </w:rPr>
        <w:t xml:space="preserve"> a</w:t>
      </w:r>
      <w:r w:rsidR="00DE58DA" w:rsidRPr="00134766">
        <w:rPr>
          <w:rFonts w:asciiTheme="majorHAnsi" w:eastAsia="Times New Roman" w:hAnsiTheme="majorHAnsi" w:cs="Times New Roman"/>
          <w:sz w:val="24"/>
          <w:szCs w:val="24"/>
        </w:rPr>
        <w:t xml:space="preserve"> treatment plan and to clinically document the medical chart</w:t>
      </w:r>
      <w:r w:rsidR="00D26F00" w:rsidRPr="00134766">
        <w:rPr>
          <w:rFonts w:asciiTheme="majorHAnsi" w:eastAsia="Times New Roman" w:hAnsiTheme="majorHAnsi" w:cs="Times New Roman"/>
          <w:sz w:val="24"/>
          <w:szCs w:val="24"/>
        </w:rPr>
        <w:t>.</w:t>
      </w:r>
    </w:p>
    <w:p w:rsidR="00B90E3D" w:rsidRDefault="008F3D34" w:rsidP="00B90E3D">
      <w:pPr>
        <w:pStyle w:val="ListParagraph"/>
        <w:numPr>
          <w:ilvl w:val="0"/>
          <w:numId w:val="37"/>
        </w:numPr>
        <w:spacing w:before="100" w:beforeAutospacing="1" w:after="100" w:afterAutospacing="1" w:line="240" w:lineRule="auto"/>
        <w:rPr>
          <w:rFonts w:asciiTheme="majorHAnsi" w:eastAsia="Times New Roman" w:hAnsiTheme="majorHAnsi" w:cs="Times New Roman"/>
          <w:b/>
          <w:sz w:val="24"/>
          <w:szCs w:val="24"/>
        </w:rPr>
      </w:pPr>
      <w:r w:rsidRPr="00134766">
        <w:rPr>
          <w:rFonts w:asciiTheme="majorHAnsi" w:eastAsia="Times New Roman" w:hAnsiTheme="majorHAnsi" w:cs="Times New Roman"/>
          <w:b/>
          <w:sz w:val="24"/>
          <w:szCs w:val="24"/>
        </w:rPr>
        <w:t xml:space="preserve">Keep a Journal of Daily Complaints and </w:t>
      </w:r>
      <w:r w:rsidR="00DE58DA" w:rsidRPr="00134766">
        <w:rPr>
          <w:rFonts w:asciiTheme="majorHAnsi" w:eastAsia="Times New Roman" w:hAnsiTheme="majorHAnsi" w:cs="Times New Roman"/>
          <w:b/>
          <w:sz w:val="24"/>
          <w:szCs w:val="24"/>
        </w:rPr>
        <w:t xml:space="preserve">Functional </w:t>
      </w:r>
      <w:r w:rsidRPr="00134766">
        <w:rPr>
          <w:rFonts w:asciiTheme="majorHAnsi" w:eastAsia="Times New Roman" w:hAnsiTheme="majorHAnsi" w:cs="Times New Roman"/>
          <w:b/>
          <w:sz w:val="24"/>
          <w:szCs w:val="24"/>
        </w:rPr>
        <w:t>Limitations</w:t>
      </w:r>
    </w:p>
    <w:p w:rsidR="00FD48A5" w:rsidRPr="00B90E3D" w:rsidRDefault="008F3D34" w:rsidP="00B90E3D">
      <w:pPr>
        <w:spacing w:before="100" w:beforeAutospacing="1" w:after="100" w:afterAutospacing="1" w:line="240" w:lineRule="auto"/>
        <w:rPr>
          <w:rFonts w:asciiTheme="majorHAnsi" w:eastAsia="Times New Roman" w:hAnsiTheme="majorHAnsi" w:cs="Times New Roman"/>
          <w:b/>
          <w:sz w:val="24"/>
          <w:szCs w:val="24"/>
        </w:rPr>
      </w:pPr>
      <w:r w:rsidRPr="00B90E3D">
        <w:rPr>
          <w:rFonts w:asciiTheme="majorHAnsi" w:eastAsia="Times New Roman" w:hAnsiTheme="majorHAnsi" w:cs="Times New Roman"/>
          <w:sz w:val="24"/>
          <w:szCs w:val="24"/>
        </w:rPr>
        <w:t>ME</w:t>
      </w:r>
      <w:r w:rsidR="00932FF6" w:rsidRPr="00B90E3D">
        <w:rPr>
          <w:rFonts w:asciiTheme="majorHAnsi" w:eastAsia="Times New Roman" w:hAnsiTheme="majorHAnsi" w:cs="Times New Roman"/>
          <w:sz w:val="24"/>
          <w:szCs w:val="24"/>
        </w:rPr>
        <w:t>/CFS</w:t>
      </w:r>
      <w:r w:rsidRPr="00B90E3D">
        <w:rPr>
          <w:rFonts w:asciiTheme="majorHAnsi" w:eastAsia="Times New Roman" w:hAnsiTheme="majorHAnsi" w:cs="Times New Roman"/>
          <w:sz w:val="24"/>
          <w:szCs w:val="24"/>
        </w:rPr>
        <w:t xml:space="preserve"> patients often complain of</w:t>
      </w:r>
      <w:r w:rsidR="00625948" w:rsidRPr="00B90E3D">
        <w:rPr>
          <w:rFonts w:asciiTheme="majorHAnsi" w:eastAsia="Times New Roman" w:hAnsiTheme="majorHAnsi" w:cs="Times New Roman"/>
          <w:sz w:val="24"/>
          <w:szCs w:val="24"/>
        </w:rPr>
        <w:t xml:space="preserve"> brain fog or other cognitive issues</w:t>
      </w:r>
      <w:r w:rsidR="00FD48A5" w:rsidRPr="00B90E3D">
        <w:rPr>
          <w:rFonts w:asciiTheme="majorHAnsi" w:eastAsia="Times New Roman" w:hAnsiTheme="majorHAnsi" w:cs="Times New Roman"/>
          <w:sz w:val="24"/>
          <w:szCs w:val="24"/>
        </w:rPr>
        <w:t xml:space="preserve"> which impact memory, among other things</w:t>
      </w:r>
      <w:r w:rsidRPr="00B90E3D">
        <w:rPr>
          <w:rFonts w:asciiTheme="majorHAnsi" w:eastAsia="Times New Roman" w:hAnsiTheme="majorHAnsi" w:cs="Times New Roman"/>
          <w:sz w:val="24"/>
          <w:szCs w:val="24"/>
        </w:rPr>
        <w:t xml:space="preserve">. </w:t>
      </w:r>
      <w:r w:rsidR="00FD48A5" w:rsidRPr="00B90E3D">
        <w:rPr>
          <w:rFonts w:asciiTheme="majorHAnsi" w:eastAsia="Times New Roman" w:hAnsiTheme="majorHAnsi" w:cs="Times New Roman"/>
          <w:sz w:val="24"/>
          <w:szCs w:val="24"/>
        </w:rPr>
        <w:t>All ME</w:t>
      </w:r>
      <w:r w:rsidR="00932FF6" w:rsidRPr="00B90E3D">
        <w:rPr>
          <w:rFonts w:asciiTheme="majorHAnsi" w:eastAsia="Times New Roman" w:hAnsiTheme="majorHAnsi" w:cs="Times New Roman"/>
          <w:sz w:val="24"/>
          <w:szCs w:val="24"/>
        </w:rPr>
        <w:t>/CFS</w:t>
      </w:r>
      <w:r w:rsidR="00FD48A5" w:rsidRPr="00B90E3D">
        <w:rPr>
          <w:rFonts w:asciiTheme="majorHAnsi" w:eastAsia="Times New Roman" w:hAnsiTheme="majorHAnsi" w:cs="Times New Roman"/>
          <w:sz w:val="24"/>
          <w:szCs w:val="24"/>
        </w:rPr>
        <w:t xml:space="preserve"> patients should </w:t>
      </w:r>
      <w:r w:rsidR="00625948" w:rsidRPr="00B90E3D">
        <w:rPr>
          <w:rFonts w:asciiTheme="majorHAnsi" w:eastAsia="Times New Roman" w:hAnsiTheme="majorHAnsi" w:cs="Times New Roman"/>
          <w:sz w:val="24"/>
          <w:szCs w:val="24"/>
        </w:rPr>
        <w:t xml:space="preserve">maintain a daily log of </w:t>
      </w:r>
      <w:r w:rsidR="006B7A02" w:rsidRPr="00B90E3D">
        <w:rPr>
          <w:rFonts w:asciiTheme="majorHAnsi" w:eastAsia="Times New Roman" w:hAnsiTheme="majorHAnsi" w:cs="Times New Roman"/>
          <w:sz w:val="24"/>
          <w:szCs w:val="24"/>
        </w:rPr>
        <w:t xml:space="preserve">all </w:t>
      </w:r>
      <w:r w:rsidR="00625948" w:rsidRPr="00B90E3D">
        <w:rPr>
          <w:rFonts w:asciiTheme="majorHAnsi" w:eastAsia="Times New Roman" w:hAnsiTheme="majorHAnsi" w:cs="Times New Roman"/>
          <w:sz w:val="24"/>
          <w:szCs w:val="24"/>
        </w:rPr>
        <w:t xml:space="preserve">symptoms and </w:t>
      </w:r>
      <w:r w:rsidR="001408FC" w:rsidRPr="00B90E3D">
        <w:rPr>
          <w:rFonts w:asciiTheme="majorHAnsi" w:eastAsia="Times New Roman" w:hAnsiTheme="majorHAnsi" w:cs="Times New Roman"/>
          <w:sz w:val="24"/>
          <w:szCs w:val="24"/>
        </w:rPr>
        <w:t xml:space="preserve">functional </w:t>
      </w:r>
      <w:r w:rsidR="00625948" w:rsidRPr="00B90E3D">
        <w:rPr>
          <w:rFonts w:asciiTheme="majorHAnsi" w:eastAsia="Times New Roman" w:hAnsiTheme="majorHAnsi" w:cs="Times New Roman"/>
          <w:sz w:val="24"/>
          <w:szCs w:val="24"/>
        </w:rPr>
        <w:t xml:space="preserve">limitations and give </w:t>
      </w:r>
      <w:r w:rsidR="00FD48A5" w:rsidRPr="00B90E3D">
        <w:rPr>
          <w:rFonts w:asciiTheme="majorHAnsi" w:eastAsia="Times New Roman" w:hAnsiTheme="majorHAnsi" w:cs="Times New Roman"/>
          <w:sz w:val="24"/>
          <w:szCs w:val="24"/>
        </w:rPr>
        <w:t>a copy</w:t>
      </w:r>
      <w:r w:rsidR="00625948" w:rsidRPr="00B90E3D">
        <w:rPr>
          <w:rFonts w:asciiTheme="majorHAnsi" w:eastAsia="Times New Roman" w:hAnsiTheme="majorHAnsi" w:cs="Times New Roman"/>
          <w:sz w:val="24"/>
          <w:szCs w:val="24"/>
        </w:rPr>
        <w:t xml:space="preserve"> to the physician during each visit to </w:t>
      </w:r>
      <w:r w:rsidR="001408FC" w:rsidRPr="00B90E3D">
        <w:rPr>
          <w:rFonts w:asciiTheme="majorHAnsi" w:eastAsia="Times New Roman" w:hAnsiTheme="majorHAnsi" w:cs="Times New Roman"/>
          <w:sz w:val="24"/>
          <w:szCs w:val="24"/>
        </w:rPr>
        <w:t xml:space="preserve">include </w:t>
      </w:r>
      <w:r w:rsidRPr="00B90E3D">
        <w:rPr>
          <w:rFonts w:asciiTheme="majorHAnsi" w:eastAsia="Times New Roman" w:hAnsiTheme="majorHAnsi" w:cs="Times New Roman"/>
          <w:sz w:val="24"/>
          <w:szCs w:val="24"/>
        </w:rPr>
        <w:t>with</w:t>
      </w:r>
      <w:r w:rsidR="006B7A02" w:rsidRPr="00B90E3D">
        <w:rPr>
          <w:rFonts w:asciiTheme="majorHAnsi" w:eastAsia="Times New Roman" w:hAnsiTheme="majorHAnsi" w:cs="Times New Roman"/>
          <w:sz w:val="24"/>
          <w:szCs w:val="24"/>
        </w:rPr>
        <w:t>in</w:t>
      </w:r>
      <w:r w:rsidRPr="00B90E3D">
        <w:rPr>
          <w:rFonts w:asciiTheme="majorHAnsi" w:eastAsia="Times New Roman" w:hAnsiTheme="majorHAnsi" w:cs="Times New Roman"/>
          <w:sz w:val="24"/>
          <w:szCs w:val="24"/>
        </w:rPr>
        <w:t xml:space="preserve"> the patient’s </w:t>
      </w:r>
      <w:r w:rsidR="00625948" w:rsidRPr="00B90E3D">
        <w:rPr>
          <w:rFonts w:asciiTheme="majorHAnsi" w:eastAsia="Times New Roman" w:hAnsiTheme="majorHAnsi" w:cs="Times New Roman"/>
          <w:sz w:val="24"/>
          <w:szCs w:val="24"/>
        </w:rPr>
        <w:t xml:space="preserve">chart. </w:t>
      </w:r>
      <w:r w:rsidR="00FD48A5" w:rsidRPr="00B90E3D">
        <w:rPr>
          <w:rFonts w:asciiTheme="majorHAnsi" w:eastAsia="Times New Roman" w:hAnsiTheme="majorHAnsi" w:cs="Times New Roman"/>
          <w:sz w:val="24"/>
          <w:szCs w:val="24"/>
        </w:rPr>
        <w:t>Patients often feel they are taking up too much of the doctor’s time, or they are nervous and forgetful during the visit, or they do not want to appear to be complaining, especially if a recommended treatment has not resulted in improvement of symptoms. As a result, the medical chart often fails to document the actual state of the patient’s health</w:t>
      </w:r>
      <w:r w:rsidR="00567A62" w:rsidRPr="00B90E3D">
        <w:rPr>
          <w:rFonts w:asciiTheme="majorHAnsi" w:eastAsia="Times New Roman" w:hAnsiTheme="majorHAnsi" w:cs="Times New Roman"/>
          <w:sz w:val="24"/>
          <w:szCs w:val="24"/>
        </w:rPr>
        <w:t>, and the functional limitations which result</w:t>
      </w:r>
      <w:r w:rsidR="00FD48A5" w:rsidRPr="00B90E3D">
        <w:rPr>
          <w:rFonts w:asciiTheme="majorHAnsi" w:eastAsia="Times New Roman" w:hAnsiTheme="majorHAnsi" w:cs="Times New Roman"/>
          <w:sz w:val="24"/>
          <w:szCs w:val="24"/>
        </w:rPr>
        <w:t>. The symptom/limitation journal can therefore provide a more accurate picture of the patient’s symptoms and limitations and</w:t>
      </w:r>
      <w:r w:rsidR="00D26F00" w:rsidRPr="00B90E3D">
        <w:rPr>
          <w:rFonts w:asciiTheme="majorHAnsi" w:eastAsia="Times New Roman" w:hAnsiTheme="majorHAnsi" w:cs="Times New Roman"/>
          <w:sz w:val="24"/>
          <w:szCs w:val="24"/>
        </w:rPr>
        <w:t>,</w:t>
      </w:r>
      <w:r w:rsidR="00FD48A5" w:rsidRPr="00B90E3D">
        <w:rPr>
          <w:rFonts w:asciiTheme="majorHAnsi" w:eastAsia="Times New Roman" w:hAnsiTheme="majorHAnsi" w:cs="Times New Roman"/>
          <w:sz w:val="24"/>
          <w:szCs w:val="24"/>
        </w:rPr>
        <w:t xml:space="preserve"> </w:t>
      </w:r>
      <w:r w:rsidR="00D26F00" w:rsidRPr="00B90E3D">
        <w:rPr>
          <w:rFonts w:asciiTheme="majorHAnsi" w:eastAsia="Times New Roman" w:hAnsiTheme="majorHAnsi" w:cs="Times New Roman"/>
          <w:sz w:val="24"/>
          <w:szCs w:val="24"/>
        </w:rPr>
        <w:t>when given to the physician during a visit, becomes part of</w:t>
      </w:r>
      <w:r w:rsidR="00FD48A5" w:rsidRPr="00B90E3D">
        <w:rPr>
          <w:rFonts w:asciiTheme="majorHAnsi" w:eastAsia="Times New Roman" w:hAnsiTheme="majorHAnsi" w:cs="Times New Roman"/>
          <w:sz w:val="24"/>
          <w:szCs w:val="24"/>
        </w:rPr>
        <w:t xml:space="preserve"> the chart for a physician to review for treatment purposes, and to answer questions posed by the insurance company.</w:t>
      </w:r>
    </w:p>
    <w:p w:rsidR="00D26F00" w:rsidRPr="00134766" w:rsidRDefault="00625948" w:rsidP="00C67C18">
      <w:pPr>
        <w:spacing w:before="100" w:beforeAutospacing="1" w:after="100" w:afterAutospacing="1" w:line="240" w:lineRule="auto"/>
        <w:rPr>
          <w:rFonts w:asciiTheme="majorHAnsi" w:eastAsia="Times New Roman" w:hAnsiTheme="majorHAnsi" w:cs="Times New Roman"/>
          <w:sz w:val="24"/>
          <w:szCs w:val="24"/>
        </w:rPr>
      </w:pPr>
      <w:r w:rsidRPr="00134766">
        <w:rPr>
          <w:rFonts w:asciiTheme="majorHAnsi" w:eastAsia="Times New Roman" w:hAnsiTheme="majorHAnsi" w:cs="Times New Roman"/>
          <w:sz w:val="24"/>
          <w:szCs w:val="24"/>
        </w:rPr>
        <w:t>ME</w:t>
      </w:r>
      <w:r w:rsidR="007A2627" w:rsidRPr="00134766">
        <w:rPr>
          <w:rFonts w:asciiTheme="majorHAnsi" w:eastAsia="Times New Roman" w:hAnsiTheme="majorHAnsi" w:cs="Times New Roman"/>
          <w:sz w:val="24"/>
          <w:szCs w:val="24"/>
        </w:rPr>
        <w:t>/CFS</w:t>
      </w:r>
      <w:r w:rsidRPr="00134766">
        <w:rPr>
          <w:rFonts w:asciiTheme="majorHAnsi" w:eastAsia="Times New Roman" w:hAnsiTheme="majorHAnsi" w:cs="Times New Roman"/>
          <w:sz w:val="24"/>
          <w:szCs w:val="24"/>
        </w:rPr>
        <w:t xml:space="preserve"> patients often experience “good days” and “bad days” and </w:t>
      </w:r>
      <w:r w:rsidR="00D26F00" w:rsidRPr="00134766">
        <w:rPr>
          <w:rFonts w:asciiTheme="majorHAnsi" w:eastAsia="Times New Roman" w:hAnsiTheme="majorHAnsi" w:cs="Times New Roman"/>
          <w:sz w:val="24"/>
          <w:szCs w:val="24"/>
        </w:rPr>
        <w:t xml:space="preserve">contemporaneously </w:t>
      </w:r>
      <w:r w:rsidRPr="00134766">
        <w:rPr>
          <w:rFonts w:asciiTheme="majorHAnsi" w:eastAsia="Times New Roman" w:hAnsiTheme="majorHAnsi" w:cs="Times New Roman"/>
          <w:sz w:val="24"/>
          <w:szCs w:val="24"/>
        </w:rPr>
        <w:t xml:space="preserve">chronicling </w:t>
      </w:r>
      <w:r w:rsidR="00FD48A5" w:rsidRPr="00134766">
        <w:rPr>
          <w:rFonts w:asciiTheme="majorHAnsi" w:eastAsia="Times New Roman" w:hAnsiTheme="majorHAnsi" w:cs="Times New Roman"/>
          <w:sz w:val="24"/>
          <w:szCs w:val="24"/>
        </w:rPr>
        <w:t xml:space="preserve">activities on </w:t>
      </w:r>
      <w:r w:rsidRPr="00134766">
        <w:rPr>
          <w:rFonts w:asciiTheme="majorHAnsi" w:eastAsia="Times New Roman" w:hAnsiTheme="majorHAnsi" w:cs="Times New Roman"/>
          <w:sz w:val="24"/>
          <w:szCs w:val="24"/>
        </w:rPr>
        <w:t>those days is important.</w:t>
      </w:r>
      <w:r w:rsidR="00D26F00" w:rsidRPr="00134766">
        <w:rPr>
          <w:rFonts w:asciiTheme="majorHAnsi" w:eastAsia="Times New Roman" w:hAnsiTheme="majorHAnsi" w:cs="Times New Roman"/>
          <w:sz w:val="24"/>
          <w:szCs w:val="24"/>
        </w:rPr>
        <w:t xml:space="preserve"> For example, if taking a shower on a good day requires the ME/CFS patient to rest after for a period because he is exhausted, that should be written in the journal.</w:t>
      </w:r>
    </w:p>
    <w:p w:rsidR="00D26F00" w:rsidRPr="00134766" w:rsidRDefault="00625948" w:rsidP="00C67C18">
      <w:pPr>
        <w:spacing w:before="100" w:beforeAutospacing="1" w:after="100" w:afterAutospacing="1" w:line="240" w:lineRule="auto"/>
        <w:rPr>
          <w:rFonts w:asciiTheme="majorHAnsi" w:eastAsia="Times New Roman" w:hAnsiTheme="majorHAnsi" w:cs="Times New Roman"/>
          <w:sz w:val="24"/>
          <w:szCs w:val="24"/>
        </w:rPr>
      </w:pPr>
      <w:r w:rsidRPr="00134766">
        <w:rPr>
          <w:rFonts w:asciiTheme="majorHAnsi" w:eastAsia="Times New Roman" w:hAnsiTheme="majorHAnsi" w:cs="Times New Roman"/>
          <w:sz w:val="24"/>
          <w:szCs w:val="24"/>
        </w:rPr>
        <w:t>ME</w:t>
      </w:r>
      <w:r w:rsidR="007A2627" w:rsidRPr="00134766">
        <w:rPr>
          <w:rFonts w:asciiTheme="majorHAnsi" w:eastAsia="Times New Roman" w:hAnsiTheme="majorHAnsi" w:cs="Times New Roman"/>
          <w:sz w:val="24"/>
          <w:szCs w:val="24"/>
        </w:rPr>
        <w:t>/CFS</w:t>
      </w:r>
      <w:r w:rsidRPr="00134766">
        <w:rPr>
          <w:rFonts w:asciiTheme="majorHAnsi" w:eastAsia="Times New Roman" w:hAnsiTheme="majorHAnsi" w:cs="Times New Roman"/>
          <w:sz w:val="24"/>
          <w:szCs w:val="24"/>
        </w:rPr>
        <w:t xml:space="preserve"> patients often define a “good day” as a day when he/she can perform one or two activities </w:t>
      </w:r>
      <w:r w:rsidR="00D26F00" w:rsidRPr="00134766">
        <w:rPr>
          <w:rFonts w:asciiTheme="majorHAnsi" w:eastAsia="Times New Roman" w:hAnsiTheme="majorHAnsi" w:cs="Times New Roman"/>
          <w:sz w:val="24"/>
          <w:szCs w:val="24"/>
        </w:rPr>
        <w:t>with rest intervals</w:t>
      </w:r>
      <w:r w:rsidR="008F3D34" w:rsidRPr="00134766">
        <w:rPr>
          <w:rFonts w:asciiTheme="majorHAnsi" w:eastAsia="Times New Roman" w:hAnsiTheme="majorHAnsi" w:cs="Times New Roman"/>
          <w:sz w:val="24"/>
          <w:szCs w:val="24"/>
        </w:rPr>
        <w:t xml:space="preserve">, which is hardly </w:t>
      </w:r>
      <w:r w:rsidR="00FD48A5" w:rsidRPr="00134766">
        <w:rPr>
          <w:rFonts w:asciiTheme="majorHAnsi" w:eastAsia="Times New Roman" w:hAnsiTheme="majorHAnsi" w:cs="Times New Roman"/>
          <w:sz w:val="24"/>
          <w:szCs w:val="24"/>
        </w:rPr>
        <w:t xml:space="preserve">a </w:t>
      </w:r>
      <w:r w:rsidR="008F3D34" w:rsidRPr="00134766">
        <w:rPr>
          <w:rFonts w:asciiTheme="majorHAnsi" w:eastAsia="Times New Roman" w:hAnsiTheme="majorHAnsi" w:cs="Times New Roman"/>
          <w:sz w:val="24"/>
          <w:szCs w:val="24"/>
        </w:rPr>
        <w:t>good</w:t>
      </w:r>
      <w:r w:rsidR="00FD48A5" w:rsidRPr="00134766">
        <w:rPr>
          <w:rFonts w:asciiTheme="majorHAnsi" w:eastAsia="Times New Roman" w:hAnsiTheme="majorHAnsi" w:cs="Times New Roman"/>
          <w:sz w:val="24"/>
          <w:szCs w:val="24"/>
        </w:rPr>
        <w:t xml:space="preserve"> day</w:t>
      </w:r>
      <w:r w:rsidR="008F3D34" w:rsidRPr="00134766">
        <w:rPr>
          <w:rFonts w:asciiTheme="majorHAnsi" w:eastAsia="Times New Roman" w:hAnsiTheme="majorHAnsi" w:cs="Times New Roman"/>
          <w:sz w:val="24"/>
          <w:szCs w:val="24"/>
        </w:rPr>
        <w:t xml:space="preserve"> to most people. </w:t>
      </w:r>
    </w:p>
    <w:p w:rsidR="007A2627" w:rsidRPr="00134766" w:rsidRDefault="008F3D34" w:rsidP="00C67C18">
      <w:pPr>
        <w:spacing w:before="100" w:beforeAutospacing="1" w:after="100" w:afterAutospacing="1" w:line="240" w:lineRule="auto"/>
        <w:rPr>
          <w:rFonts w:asciiTheme="majorHAnsi" w:eastAsia="Times New Roman" w:hAnsiTheme="majorHAnsi" w:cs="Times New Roman"/>
          <w:sz w:val="24"/>
          <w:szCs w:val="24"/>
        </w:rPr>
      </w:pPr>
      <w:r w:rsidRPr="00134766">
        <w:rPr>
          <w:rFonts w:asciiTheme="majorHAnsi" w:eastAsia="Times New Roman" w:hAnsiTheme="majorHAnsi" w:cs="Times New Roman"/>
          <w:sz w:val="24"/>
          <w:szCs w:val="24"/>
        </w:rPr>
        <w:t>On bad days, the level of function can plummet to little more than eating, drinking and going to the bathroom. Even showering is often too taxing for ME</w:t>
      </w:r>
      <w:r w:rsidR="007A2627" w:rsidRPr="00134766">
        <w:rPr>
          <w:rFonts w:asciiTheme="majorHAnsi" w:eastAsia="Times New Roman" w:hAnsiTheme="majorHAnsi" w:cs="Times New Roman"/>
          <w:sz w:val="24"/>
          <w:szCs w:val="24"/>
        </w:rPr>
        <w:t>/CFS</w:t>
      </w:r>
      <w:r w:rsidRPr="00134766">
        <w:rPr>
          <w:rFonts w:asciiTheme="majorHAnsi" w:eastAsia="Times New Roman" w:hAnsiTheme="majorHAnsi" w:cs="Times New Roman"/>
          <w:sz w:val="24"/>
          <w:szCs w:val="24"/>
        </w:rPr>
        <w:t xml:space="preserve"> sufferers. </w:t>
      </w:r>
      <w:r w:rsidR="00FD48A5" w:rsidRPr="00134766">
        <w:rPr>
          <w:rFonts w:asciiTheme="majorHAnsi" w:eastAsia="Times New Roman" w:hAnsiTheme="majorHAnsi" w:cs="Times New Roman"/>
          <w:sz w:val="24"/>
          <w:szCs w:val="24"/>
        </w:rPr>
        <w:t>And a contemporaneous description of such days is critical in this context</w:t>
      </w:r>
      <w:r w:rsidR="009A0F9F" w:rsidRPr="00134766">
        <w:rPr>
          <w:rFonts w:asciiTheme="majorHAnsi" w:eastAsia="Times New Roman" w:hAnsiTheme="majorHAnsi" w:cs="Times New Roman"/>
          <w:sz w:val="24"/>
          <w:szCs w:val="24"/>
        </w:rPr>
        <w:t xml:space="preserve">, especially when LTD insurance companies often employ surveillance to undermine </w:t>
      </w:r>
      <w:r w:rsidR="006B7A02">
        <w:rPr>
          <w:rFonts w:asciiTheme="majorHAnsi" w:eastAsia="Times New Roman" w:hAnsiTheme="majorHAnsi" w:cs="Times New Roman"/>
          <w:sz w:val="24"/>
          <w:szCs w:val="24"/>
        </w:rPr>
        <w:t>ME/CFS</w:t>
      </w:r>
      <w:r w:rsidR="009A0F9F" w:rsidRPr="00134766">
        <w:rPr>
          <w:rFonts w:asciiTheme="majorHAnsi" w:eastAsia="Times New Roman" w:hAnsiTheme="majorHAnsi" w:cs="Times New Roman"/>
          <w:sz w:val="24"/>
          <w:szCs w:val="24"/>
        </w:rPr>
        <w:t xml:space="preserve"> claims. </w:t>
      </w:r>
    </w:p>
    <w:p w:rsidR="00625948" w:rsidRDefault="007A2627" w:rsidP="00C67C18">
      <w:pPr>
        <w:spacing w:before="100" w:beforeAutospacing="1" w:after="100" w:afterAutospacing="1" w:line="240" w:lineRule="auto"/>
        <w:rPr>
          <w:rFonts w:asciiTheme="majorHAnsi" w:eastAsia="Times New Roman" w:hAnsiTheme="majorHAnsi" w:cs="Times New Roman"/>
          <w:sz w:val="24"/>
          <w:szCs w:val="24"/>
        </w:rPr>
      </w:pPr>
      <w:r w:rsidRPr="00134766">
        <w:rPr>
          <w:rFonts w:asciiTheme="majorHAnsi" w:eastAsia="Times New Roman" w:hAnsiTheme="majorHAnsi" w:cs="Times New Roman"/>
          <w:sz w:val="24"/>
          <w:szCs w:val="24"/>
        </w:rPr>
        <w:t>For example,</w:t>
      </w:r>
      <w:r w:rsidR="009A0F9F" w:rsidRPr="00134766">
        <w:rPr>
          <w:rFonts w:asciiTheme="majorHAnsi" w:eastAsia="Times New Roman" w:hAnsiTheme="majorHAnsi" w:cs="Times New Roman"/>
          <w:sz w:val="24"/>
          <w:szCs w:val="24"/>
        </w:rPr>
        <w:t xml:space="preserve"> if a private investigator </w:t>
      </w:r>
      <w:r w:rsidR="001D62CF" w:rsidRPr="00134766">
        <w:rPr>
          <w:rFonts w:asciiTheme="majorHAnsi" w:eastAsia="Times New Roman" w:hAnsiTheme="majorHAnsi" w:cs="Times New Roman"/>
          <w:sz w:val="24"/>
          <w:szCs w:val="24"/>
        </w:rPr>
        <w:t xml:space="preserve">retained by the LTD insurer </w:t>
      </w:r>
      <w:r w:rsidR="009A0F9F" w:rsidRPr="00134766">
        <w:rPr>
          <w:rFonts w:asciiTheme="majorHAnsi" w:eastAsia="Times New Roman" w:hAnsiTheme="majorHAnsi" w:cs="Times New Roman"/>
          <w:sz w:val="24"/>
          <w:szCs w:val="24"/>
        </w:rPr>
        <w:t xml:space="preserve">records </w:t>
      </w:r>
      <w:r w:rsidR="001D62CF" w:rsidRPr="00134766">
        <w:rPr>
          <w:rFonts w:asciiTheme="majorHAnsi" w:eastAsia="Times New Roman" w:hAnsiTheme="majorHAnsi" w:cs="Times New Roman"/>
          <w:sz w:val="24"/>
          <w:szCs w:val="24"/>
        </w:rPr>
        <w:t xml:space="preserve">an ME/CFS claimant </w:t>
      </w:r>
      <w:r w:rsidR="009A0F9F" w:rsidRPr="00134766">
        <w:rPr>
          <w:rFonts w:asciiTheme="majorHAnsi" w:eastAsia="Times New Roman" w:hAnsiTheme="majorHAnsi" w:cs="Times New Roman"/>
          <w:sz w:val="24"/>
          <w:szCs w:val="24"/>
        </w:rPr>
        <w:t xml:space="preserve">driving to the grocery store to buy a few items, then perhaps observes them stopping at the dry cleaner, they may extrapolate from that </w:t>
      </w:r>
      <w:r w:rsidR="001D62CF" w:rsidRPr="00134766">
        <w:rPr>
          <w:rFonts w:asciiTheme="majorHAnsi" w:eastAsia="Times New Roman" w:hAnsiTheme="majorHAnsi" w:cs="Times New Roman"/>
          <w:sz w:val="24"/>
          <w:szCs w:val="24"/>
        </w:rPr>
        <w:t xml:space="preserve">normal </w:t>
      </w:r>
      <w:r w:rsidR="009A0F9F" w:rsidRPr="00134766">
        <w:rPr>
          <w:rFonts w:asciiTheme="majorHAnsi" w:eastAsia="Times New Roman" w:hAnsiTheme="majorHAnsi" w:cs="Times New Roman"/>
          <w:sz w:val="24"/>
          <w:szCs w:val="24"/>
        </w:rPr>
        <w:t>functional abilities that are misleading. If a claimant’s journal entry on that day</w:t>
      </w:r>
      <w:r w:rsidRPr="00134766">
        <w:rPr>
          <w:rFonts w:asciiTheme="majorHAnsi" w:eastAsia="Times New Roman" w:hAnsiTheme="majorHAnsi" w:cs="Times New Roman"/>
          <w:sz w:val="24"/>
          <w:szCs w:val="24"/>
        </w:rPr>
        <w:t>, however,</w:t>
      </w:r>
      <w:r w:rsidR="009A0F9F" w:rsidRPr="00134766">
        <w:rPr>
          <w:rFonts w:asciiTheme="majorHAnsi" w:eastAsia="Times New Roman" w:hAnsiTheme="majorHAnsi" w:cs="Times New Roman"/>
          <w:sz w:val="24"/>
          <w:szCs w:val="24"/>
        </w:rPr>
        <w:t xml:space="preserve"> documents symptoms and limitations not visible to the camera (mental exhaustion, and/or physical pain followed by a complete physical crash after the person gets inside his/her home) that </w:t>
      </w:r>
      <w:r w:rsidRPr="00134766">
        <w:rPr>
          <w:rFonts w:asciiTheme="majorHAnsi" w:eastAsia="Times New Roman" w:hAnsiTheme="majorHAnsi" w:cs="Times New Roman"/>
          <w:sz w:val="24"/>
          <w:szCs w:val="24"/>
        </w:rPr>
        <w:t xml:space="preserve">journal </w:t>
      </w:r>
      <w:r w:rsidR="009A0F9F" w:rsidRPr="00134766">
        <w:rPr>
          <w:rFonts w:asciiTheme="majorHAnsi" w:eastAsia="Times New Roman" w:hAnsiTheme="majorHAnsi" w:cs="Times New Roman"/>
          <w:sz w:val="24"/>
          <w:szCs w:val="24"/>
        </w:rPr>
        <w:t xml:space="preserve">entry does not merely document the claimant’s actual state of health, it also undermines the insurer’s attempt to paint the claimant’s functional abilities in a false light. </w:t>
      </w:r>
    </w:p>
    <w:p w:rsidR="004B32FB" w:rsidRDefault="006B7A02" w:rsidP="00C67C18">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A common tactic of LTD insurers is to schedule a medical exam by one of its medical vendors and then employ surveillance before and after to document the claimant’s conduct.  In ME/CFS cases, claimants </w:t>
      </w:r>
      <w:r w:rsidR="004B32FB">
        <w:rPr>
          <w:rFonts w:asciiTheme="majorHAnsi" w:eastAsia="Times New Roman" w:hAnsiTheme="majorHAnsi" w:cs="Times New Roman"/>
          <w:sz w:val="24"/>
          <w:szCs w:val="24"/>
        </w:rPr>
        <w:t xml:space="preserve">often experience a worsening of symptoms on the day of the </w:t>
      </w:r>
      <w:r w:rsidR="004B32FB">
        <w:rPr>
          <w:rFonts w:asciiTheme="majorHAnsi" w:eastAsia="Times New Roman" w:hAnsiTheme="majorHAnsi" w:cs="Times New Roman"/>
          <w:sz w:val="24"/>
          <w:szCs w:val="24"/>
        </w:rPr>
        <w:lastRenderedPageBreak/>
        <w:t>insurance medical exam (Insurers refer to the exams as “independent medical exams” but in my decades of experience in this field, I have seen little evidence of that “independence”)</w:t>
      </w:r>
      <w:r>
        <w:rPr>
          <w:rFonts w:asciiTheme="majorHAnsi" w:eastAsia="Times New Roman" w:hAnsiTheme="majorHAnsi" w:cs="Times New Roman"/>
          <w:sz w:val="24"/>
          <w:szCs w:val="24"/>
        </w:rPr>
        <w:t xml:space="preserve">. </w:t>
      </w:r>
    </w:p>
    <w:p w:rsidR="006B7A02" w:rsidRPr="00134766" w:rsidRDefault="006B7A02" w:rsidP="00C67C18">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If </w:t>
      </w:r>
      <w:r w:rsidR="004B32FB">
        <w:rPr>
          <w:rFonts w:asciiTheme="majorHAnsi" w:eastAsia="Times New Roman" w:hAnsiTheme="majorHAnsi" w:cs="Times New Roman"/>
          <w:sz w:val="24"/>
          <w:szCs w:val="24"/>
        </w:rPr>
        <w:t>an ME/CFS patient experiences worsening of symptoms at any point on the exam day</w:t>
      </w:r>
      <w:r>
        <w:rPr>
          <w:rFonts w:asciiTheme="majorHAnsi" w:eastAsia="Times New Roman" w:hAnsiTheme="majorHAnsi" w:cs="Times New Roman"/>
          <w:sz w:val="24"/>
          <w:szCs w:val="24"/>
        </w:rPr>
        <w:t>, the claimant, or a family member or friend accompanying them, should document the impact the entire experience had on them before, during and after the visit. The claimant should also share with the insurance medical vendor the effect the experience had on them. (</w:t>
      </w:r>
      <w:proofErr w:type="spellStart"/>
      <w:r>
        <w:rPr>
          <w:rFonts w:asciiTheme="majorHAnsi" w:eastAsia="Times New Roman" w:hAnsiTheme="majorHAnsi" w:cs="Times New Roman"/>
          <w:sz w:val="24"/>
          <w:szCs w:val="24"/>
        </w:rPr>
        <w:t>e.g</w:t>
      </w:r>
      <w:proofErr w:type="spellEnd"/>
      <w:r>
        <w:rPr>
          <w:rFonts w:asciiTheme="majorHAnsi" w:eastAsia="Times New Roman" w:hAnsiTheme="majorHAnsi" w:cs="Times New Roman"/>
          <w:sz w:val="24"/>
          <w:szCs w:val="24"/>
        </w:rPr>
        <w:t>-if they fell asleep in the waiting room, or became dizzy, nauseas, or more symptomatic with pain</w:t>
      </w:r>
      <w:r w:rsidR="004B32FB">
        <w:rPr>
          <w:rFonts w:asciiTheme="majorHAnsi" w:eastAsia="Times New Roman" w:hAnsiTheme="majorHAnsi" w:cs="Times New Roman"/>
          <w:sz w:val="24"/>
          <w:szCs w:val="24"/>
        </w:rPr>
        <w:t>, fatigue, headaches or cognitive issues</w:t>
      </w:r>
      <w:r>
        <w:rPr>
          <w:rFonts w:asciiTheme="majorHAnsi" w:eastAsia="Times New Roman" w:hAnsiTheme="majorHAnsi" w:cs="Times New Roman"/>
          <w:sz w:val="24"/>
          <w:szCs w:val="24"/>
        </w:rPr>
        <w:t xml:space="preserve"> etc.,) And following the visit, the claimant should </w:t>
      </w:r>
      <w:r w:rsidR="004B32FB">
        <w:rPr>
          <w:rFonts w:asciiTheme="majorHAnsi" w:eastAsia="Times New Roman" w:hAnsiTheme="majorHAnsi" w:cs="Times New Roman"/>
          <w:sz w:val="24"/>
          <w:szCs w:val="24"/>
        </w:rPr>
        <w:t>describe the entire experience, and the after effect in her journal entry for that day for the treating ME/CFS physician.</w:t>
      </w:r>
    </w:p>
    <w:p w:rsidR="00DB2FA3" w:rsidRDefault="003C5A7B" w:rsidP="00C67C18">
      <w:pPr>
        <w:spacing w:before="100" w:beforeAutospacing="1" w:after="100" w:afterAutospacing="1" w:line="240" w:lineRule="auto"/>
        <w:rPr>
          <w:rFonts w:asciiTheme="majorHAnsi" w:eastAsia="Times New Roman" w:hAnsiTheme="majorHAnsi" w:cs="Times New Roman"/>
          <w:sz w:val="24"/>
          <w:szCs w:val="24"/>
        </w:rPr>
      </w:pPr>
      <w:r w:rsidRPr="00134766">
        <w:rPr>
          <w:rFonts w:asciiTheme="majorHAnsi" w:eastAsia="Times New Roman" w:hAnsiTheme="majorHAnsi" w:cs="Times New Roman"/>
          <w:sz w:val="24"/>
          <w:szCs w:val="24"/>
        </w:rPr>
        <w:t>The journal will also likely document the unpredictability of the symptoms</w:t>
      </w:r>
      <w:r w:rsidR="00E97D2A" w:rsidRPr="00134766">
        <w:rPr>
          <w:rFonts w:asciiTheme="majorHAnsi" w:eastAsia="Times New Roman" w:hAnsiTheme="majorHAnsi" w:cs="Times New Roman"/>
          <w:sz w:val="24"/>
          <w:szCs w:val="24"/>
        </w:rPr>
        <w:t xml:space="preserve"> </w:t>
      </w:r>
      <w:r w:rsidRPr="00134766">
        <w:rPr>
          <w:rFonts w:asciiTheme="majorHAnsi" w:eastAsia="Times New Roman" w:hAnsiTheme="majorHAnsi" w:cs="Times New Roman"/>
          <w:sz w:val="24"/>
          <w:szCs w:val="24"/>
        </w:rPr>
        <w:t>and</w:t>
      </w:r>
      <w:r w:rsidR="00E97D2A" w:rsidRPr="00134766">
        <w:rPr>
          <w:rFonts w:asciiTheme="majorHAnsi" w:eastAsia="Times New Roman" w:hAnsiTheme="majorHAnsi" w:cs="Times New Roman"/>
          <w:sz w:val="24"/>
          <w:szCs w:val="24"/>
        </w:rPr>
        <w:t xml:space="preserve"> limitations from one day to the next, and often from one hour to the next and</w:t>
      </w:r>
      <w:r w:rsidRPr="00134766">
        <w:rPr>
          <w:rFonts w:asciiTheme="majorHAnsi" w:eastAsia="Times New Roman" w:hAnsiTheme="majorHAnsi" w:cs="Times New Roman"/>
          <w:sz w:val="24"/>
          <w:szCs w:val="24"/>
        </w:rPr>
        <w:t xml:space="preserve"> th</w:t>
      </w:r>
      <w:r w:rsidR="00E97D2A" w:rsidRPr="00134766">
        <w:rPr>
          <w:rFonts w:asciiTheme="majorHAnsi" w:eastAsia="Times New Roman" w:hAnsiTheme="majorHAnsi" w:cs="Times New Roman"/>
          <w:sz w:val="24"/>
          <w:szCs w:val="24"/>
        </w:rPr>
        <w:t>e frequency of post exertional malaise when activities are performed.</w:t>
      </w:r>
    </w:p>
    <w:p w:rsidR="00DB2FA3" w:rsidRPr="00DB2FA3" w:rsidRDefault="00EC2722" w:rsidP="00DB2FA3">
      <w:pPr>
        <w:pStyle w:val="ListParagraph"/>
        <w:numPr>
          <w:ilvl w:val="0"/>
          <w:numId w:val="37"/>
        </w:numPr>
        <w:spacing w:before="100" w:beforeAutospacing="1" w:after="100" w:afterAutospacing="1" w:line="240"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 xml:space="preserve">An </w:t>
      </w:r>
      <w:r w:rsidR="00DB2FA3" w:rsidRPr="00DB2FA3">
        <w:rPr>
          <w:rFonts w:asciiTheme="majorHAnsi" w:eastAsia="Times New Roman" w:hAnsiTheme="majorHAnsi" w:cs="Times New Roman"/>
          <w:b/>
          <w:sz w:val="24"/>
          <w:szCs w:val="24"/>
        </w:rPr>
        <w:t xml:space="preserve">ME/CFS claimant should not participate in </w:t>
      </w:r>
      <w:r w:rsidR="000518F0">
        <w:rPr>
          <w:rFonts w:asciiTheme="majorHAnsi" w:eastAsia="Times New Roman" w:hAnsiTheme="majorHAnsi" w:cs="Times New Roman"/>
          <w:b/>
          <w:sz w:val="24"/>
          <w:szCs w:val="24"/>
        </w:rPr>
        <w:t>standard f</w:t>
      </w:r>
      <w:r w:rsidR="00DB2FA3" w:rsidRPr="00DB2FA3">
        <w:rPr>
          <w:rFonts w:asciiTheme="majorHAnsi" w:eastAsia="Times New Roman" w:hAnsiTheme="majorHAnsi" w:cs="Times New Roman"/>
          <w:b/>
          <w:sz w:val="24"/>
          <w:szCs w:val="24"/>
        </w:rPr>
        <w:t xml:space="preserve">unctional </w:t>
      </w:r>
      <w:r w:rsidR="000518F0">
        <w:rPr>
          <w:rFonts w:asciiTheme="majorHAnsi" w:eastAsia="Times New Roman" w:hAnsiTheme="majorHAnsi" w:cs="Times New Roman"/>
          <w:b/>
          <w:sz w:val="24"/>
          <w:szCs w:val="24"/>
        </w:rPr>
        <w:t>c</w:t>
      </w:r>
      <w:r w:rsidR="00DB2FA3" w:rsidRPr="00DB2FA3">
        <w:rPr>
          <w:rFonts w:asciiTheme="majorHAnsi" w:eastAsia="Times New Roman" w:hAnsiTheme="majorHAnsi" w:cs="Times New Roman"/>
          <w:b/>
          <w:sz w:val="24"/>
          <w:szCs w:val="24"/>
        </w:rPr>
        <w:t xml:space="preserve">apacity </w:t>
      </w:r>
      <w:r w:rsidR="000518F0">
        <w:rPr>
          <w:rFonts w:asciiTheme="majorHAnsi" w:eastAsia="Times New Roman" w:hAnsiTheme="majorHAnsi" w:cs="Times New Roman"/>
          <w:b/>
          <w:sz w:val="24"/>
          <w:szCs w:val="24"/>
        </w:rPr>
        <w:t>e</w:t>
      </w:r>
      <w:r w:rsidR="00DB2FA3" w:rsidRPr="00DB2FA3">
        <w:rPr>
          <w:rFonts w:asciiTheme="majorHAnsi" w:eastAsia="Times New Roman" w:hAnsiTheme="majorHAnsi" w:cs="Times New Roman"/>
          <w:b/>
          <w:sz w:val="24"/>
          <w:szCs w:val="24"/>
        </w:rPr>
        <w:t>valuations</w:t>
      </w:r>
      <w:r w:rsidR="000518F0">
        <w:rPr>
          <w:rFonts w:asciiTheme="majorHAnsi" w:eastAsia="Times New Roman" w:hAnsiTheme="majorHAnsi" w:cs="Times New Roman"/>
          <w:b/>
          <w:sz w:val="24"/>
          <w:szCs w:val="24"/>
        </w:rPr>
        <w:t xml:space="preserve"> scheduled by the LTD insurer</w:t>
      </w:r>
    </w:p>
    <w:p w:rsidR="00BC1BB9" w:rsidRDefault="00400BF0" w:rsidP="00BC1BB9">
      <w:pPr>
        <w:spacing w:before="100" w:beforeAutospacing="1" w:after="100" w:afterAutospacing="1" w:line="240" w:lineRule="auto"/>
      </w:pPr>
      <w:r>
        <w:rPr>
          <w:rFonts w:asciiTheme="majorHAnsi" w:eastAsia="Times New Roman" w:hAnsiTheme="majorHAnsi" w:cs="Times New Roman"/>
          <w:sz w:val="24"/>
          <w:szCs w:val="24"/>
        </w:rPr>
        <w:t xml:space="preserve">LTD </w:t>
      </w:r>
      <w:r w:rsidR="006407D5">
        <w:rPr>
          <w:rFonts w:asciiTheme="majorHAnsi" w:eastAsia="Times New Roman" w:hAnsiTheme="majorHAnsi" w:cs="Times New Roman"/>
          <w:sz w:val="24"/>
          <w:szCs w:val="24"/>
        </w:rPr>
        <w:t>i</w:t>
      </w:r>
      <w:r w:rsidR="00AB56D5">
        <w:rPr>
          <w:rFonts w:asciiTheme="majorHAnsi" w:eastAsia="Times New Roman" w:hAnsiTheme="majorHAnsi" w:cs="Times New Roman"/>
          <w:sz w:val="24"/>
          <w:szCs w:val="24"/>
        </w:rPr>
        <w:t xml:space="preserve">nsurance companies often try to schedule </w:t>
      </w:r>
      <w:r>
        <w:rPr>
          <w:rFonts w:asciiTheme="majorHAnsi" w:eastAsia="Times New Roman" w:hAnsiTheme="majorHAnsi" w:cs="Times New Roman"/>
          <w:sz w:val="24"/>
          <w:szCs w:val="24"/>
        </w:rPr>
        <w:t>standard f</w:t>
      </w:r>
      <w:r w:rsidR="00AB56D5">
        <w:rPr>
          <w:rFonts w:asciiTheme="majorHAnsi" w:eastAsia="Times New Roman" w:hAnsiTheme="majorHAnsi" w:cs="Times New Roman"/>
          <w:sz w:val="24"/>
          <w:szCs w:val="24"/>
        </w:rPr>
        <w:t xml:space="preserve">unctional </w:t>
      </w:r>
      <w:r>
        <w:rPr>
          <w:rFonts w:asciiTheme="majorHAnsi" w:eastAsia="Times New Roman" w:hAnsiTheme="majorHAnsi" w:cs="Times New Roman"/>
          <w:sz w:val="24"/>
          <w:szCs w:val="24"/>
        </w:rPr>
        <w:t>c</w:t>
      </w:r>
      <w:r w:rsidR="00AB56D5">
        <w:rPr>
          <w:rFonts w:asciiTheme="majorHAnsi" w:eastAsia="Times New Roman" w:hAnsiTheme="majorHAnsi" w:cs="Times New Roman"/>
          <w:sz w:val="24"/>
          <w:szCs w:val="24"/>
        </w:rPr>
        <w:t xml:space="preserve">apacity </w:t>
      </w:r>
      <w:r>
        <w:rPr>
          <w:rFonts w:asciiTheme="majorHAnsi" w:eastAsia="Times New Roman" w:hAnsiTheme="majorHAnsi" w:cs="Times New Roman"/>
          <w:sz w:val="24"/>
          <w:szCs w:val="24"/>
        </w:rPr>
        <w:t>e</w:t>
      </w:r>
      <w:r w:rsidR="00AB56D5">
        <w:rPr>
          <w:rFonts w:asciiTheme="majorHAnsi" w:eastAsia="Times New Roman" w:hAnsiTheme="majorHAnsi" w:cs="Times New Roman"/>
          <w:sz w:val="24"/>
          <w:szCs w:val="24"/>
        </w:rPr>
        <w:t xml:space="preserve">valuations </w:t>
      </w:r>
      <w:r w:rsidR="00971833">
        <w:rPr>
          <w:rFonts w:asciiTheme="majorHAnsi" w:eastAsia="Times New Roman" w:hAnsiTheme="majorHAnsi" w:cs="Times New Roman"/>
          <w:sz w:val="24"/>
          <w:szCs w:val="24"/>
        </w:rPr>
        <w:t>(FCE)</w:t>
      </w:r>
      <w:r>
        <w:rPr>
          <w:rFonts w:asciiTheme="majorHAnsi" w:eastAsia="Times New Roman" w:hAnsiTheme="majorHAnsi" w:cs="Times New Roman"/>
          <w:sz w:val="24"/>
          <w:szCs w:val="24"/>
        </w:rPr>
        <w:t xml:space="preserve"> (as opposed to</w:t>
      </w:r>
      <w:r w:rsidR="00EC2722">
        <w:rPr>
          <w:rFonts w:asciiTheme="majorHAnsi" w:eastAsia="Times New Roman" w:hAnsiTheme="majorHAnsi" w:cs="Times New Roman"/>
          <w:sz w:val="24"/>
          <w:szCs w:val="24"/>
        </w:rPr>
        <w:t xml:space="preserve"> a</w:t>
      </w:r>
      <w:r>
        <w:rPr>
          <w:rFonts w:asciiTheme="majorHAnsi" w:eastAsia="Times New Roman" w:hAnsiTheme="majorHAnsi" w:cs="Times New Roman"/>
          <w:sz w:val="24"/>
          <w:szCs w:val="24"/>
        </w:rPr>
        <w:t xml:space="preserve"> cardio pulmonary exercise test</w:t>
      </w:r>
      <w:r w:rsidR="00EC2722">
        <w:rPr>
          <w:rFonts w:asciiTheme="majorHAnsi" w:eastAsia="Times New Roman" w:hAnsiTheme="majorHAnsi" w:cs="Times New Roman"/>
          <w:sz w:val="24"/>
          <w:szCs w:val="24"/>
        </w:rPr>
        <w:t xml:space="preserve"> (CPET)</w:t>
      </w:r>
      <w:r>
        <w:rPr>
          <w:rFonts w:asciiTheme="majorHAnsi" w:eastAsia="Times New Roman" w:hAnsiTheme="majorHAnsi" w:cs="Times New Roman"/>
          <w:sz w:val="24"/>
          <w:szCs w:val="24"/>
        </w:rPr>
        <w:t xml:space="preserve"> </w:t>
      </w:r>
      <w:r w:rsidR="00EC2722">
        <w:rPr>
          <w:rFonts w:asciiTheme="majorHAnsi" w:eastAsia="Times New Roman" w:hAnsiTheme="majorHAnsi" w:cs="Times New Roman"/>
          <w:sz w:val="24"/>
          <w:szCs w:val="24"/>
        </w:rPr>
        <w:t>performed</w:t>
      </w:r>
      <w:r>
        <w:rPr>
          <w:rFonts w:asciiTheme="majorHAnsi" w:eastAsia="Times New Roman" w:hAnsiTheme="majorHAnsi" w:cs="Times New Roman"/>
          <w:sz w:val="24"/>
          <w:szCs w:val="24"/>
        </w:rPr>
        <w:t xml:space="preserve"> in </w:t>
      </w:r>
      <w:r w:rsidR="00EC2722">
        <w:rPr>
          <w:rFonts w:asciiTheme="majorHAnsi" w:eastAsia="Times New Roman" w:hAnsiTheme="majorHAnsi" w:cs="Times New Roman"/>
          <w:sz w:val="24"/>
          <w:szCs w:val="24"/>
        </w:rPr>
        <w:t>ME/</w:t>
      </w:r>
      <w:r>
        <w:rPr>
          <w:rFonts w:asciiTheme="majorHAnsi" w:eastAsia="Times New Roman" w:hAnsiTheme="majorHAnsi" w:cs="Times New Roman"/>
          <w:sz w:val="24"/>
          <w:szCs w:val="24"/>
        </w:rPr>
        <w:t>CFS cases)</w:t>
      </w:r>
      <w:r w:rsidR="00971833">
        <w:rPr>
          <w:rFonts w:asciiTheme="majorHAnsi" w:eastAsia="Times New Roman" w:hAnsiTheme="majorHAnsi" w:cs="Times New Roman"/>
          <w:sz w:val="24"/>
          <w:szCs w:val="24"/>
        </w:rPr>
        <w:t xml:space="preserve"> to determine whether a</w:t>
      </w:r>
      <w:r>
        <w:rPr>
          <w:rFonts w:asciiTheme="majorHAnsi" w:eastAsia="Times New Roman" w:hAnsiTheme="majorHAnsi" w:cs="Times New Roman"/>
          <w:sz w:val="24"/>
          <w:szCs w:val="24"/>
        </w:rPr>
        <w:t>n ME/CFS</w:t>
      </w:r>
      <w:r w:rsidR="00971833">
        <w:rPr>
          <w:rFonts w:asciiTheme="majorHAnsi" w:eastAsia="Times New Roman" w:hAnsiTheme="majorHAnsi" w:cs="Times New Roman"/>
          <w:sz w:val="24"/>
          <w:szCs w:val="24"/>
        </w:rPr>
        <w:t xml:space="preserve"> claimant has the physical capacity to work. </w:t>
      </w:r>
      <w:r w:rsidR="0022199C">
        <w:rPr>
          <w:rFonts w:asciiTheme="majorHAnsi" w:eastAsia="Times New Roman" w:hAnsiTheme="majorHAnsi" w:cs="Times New Roman"/>
          <w:sz w:val="24"/>
          <w:szCs w:val="24"/>
        </w:rPr>
        <w:t>U</w:t>
      </w:r>
      <w:r w:rsidR="00971833">
        <w:rPr>
          <w:rFonts w:asciiTheme="majorHAnsi" w:eastAsia="Times New Roman" w:hAnsiTheme="majorHAnsi" w:cs="Times New Roman"/>
          <w:sz w:val="24"/>
          <w:szCs w:val="24"/>
        </w:rPr>
        <w:t>se of the FCE for that purpose has been discredited</w:t>
      </w:r>
      <w:r w:rsidR="0022199C">
        <w:rPr>
          <w:rFonts w:asciiTheme="majorHAnsi" w:eastAsia="Times New Roman" w:hAnsiTheme="majorHAnsi" w:cs="Times New Roman"/>
          <w:sz w:val="24"/>
          <w:szCs w:val="24"/>
        </w:rPr>
        <w:t xml:space="preserve"> </w:t>
      </w:r>
      <w:r w:rsidR="00EC2722">
        <w:rPr>
          <w:rFonts w:asciiTheme="majorHAnsi" w:eastAsia="Times New Roman" w:hAnsiTheme="majorHAnsi" w:cs="Times New Roman"/>
          <w:sz w:val="24"/>
          <w:szCs w:val="24"/>
        </w:rPr>
        <w:t xml:space="preserve">for a variety of reasons. </w:t>
      </w:r>
      <w:r w:rsidR="00EC2722">
        <w:rPr>
          <w:rStyle w:val="EndnoteReference"/>
          <w:rFonts w:asciiTheme="majorHAnsi" w:eastAsia="Times New Roman" w:hAnsiTheme="majorHAnsi" w:cs="Times New Roman"/>
          <w:sz w:val="24"/>
          <w:szCs w:val="24"/>
        </w:rPr>
        <w:endnoteReference w:id="4"/>
      </w:r>
      <w:r w:rsidR="006407D5">
        <w:rPr>
          <w:rFonts w:asciiTheme="majorHAnsi" w:eastAsia="Times New Roman" w:hAnsiTheme="majorHAnsi" w:cs="Times New Roman"/>
          <w:sz w:val="24"/>
          <w:szCs w:val="24"/>
        </w:rPr>
        <w:t>T</w:t>
      </w:r>
      <w:r w:rsidRPr="00EC2722">
        <w:rPr>
          <w:rFonts w:asciiTheme="majorHAnsi" w:eastAsia="Times New Roman" w:hAnsiTheme="majorHAnsi" w:cs="Times New Roman"/>
          <w:sz w:val="24"/>
          <w:szCs w:val="24"/>
        </w:rPr>
        <w:t xml:space="preserve">hese examiners </w:t>
      </w:r>
      <w:r w:rsidR="006407D5">
        <w:rPr>
          <w:rFonts w:asciiTheme="majorHAnsi" w:eastAsia="Times New Roman" w:hAnsiTheme="majorHAnsi" w:cs="Times New Roman"/>
          <w:sz w:val="24"/>
          <w:szCs w:val="24"/>
        </w:rPr>
        <w:t xml:space="preserve">frequently </w:t>
      </w:r>
      <w:r w:rsidRPr="00EC2722">
        <w:rPr>
          <w:rFonts w:asciiTheme="majorHAnsi" w:eastAsia="Times New Roman" w:hAnsiTheme="majorHAnsi" w:cs="Times New Roman"/>
          <w:sz w:val="24"/>
          <w:szCs w:val="24"/>
        </w:rPr>
        <w:t>lack a</w:t>
      </w:r>
      <w:r w:rsidR="00B05EAD" w:rsidRPr="00EC2722">
        <w:rPr>
          <w:rFonts w:asciiTheme="majorHAnsi" w:eastAsia="Times New Roman" w:hAnsiTheme="majorHAnsi" w:cs="Times New Roman"/>
          <w:sz w:val="24"/>
          <w:szCs w:val="24"/>
        </w:rPr>
        <w:t>n</w:t>
      </w:r>
      <w:r w:rsidRPr="00EC2722">
        <w:rPr>
          <w:rFonts w:asciiTheme="majorHAnsi" w:eastAsia="Times New Roman" w:hAnsiTheme="majorHAnsi" w:cs="Times New Roman"/>
          <w:sz w:val="24"/>
          <w:szCs w:val="24"/>
        </w:rPr>
        <w:t xml:space="preserve"> understanding of the basic issues confronting ME/CFS claimants, especially post-exertional malaise. If an LTD carrier demands the ME/CFS claimant attend a standard FCE, obtain a letter from the ME/CFS treating physician explaining the damage to the claimant’s health</w:t>
      </w:r>
      <w:r w:rsidR="00BC1BB9">
        <w:rPr>
          <w:rFonts w:asciiTheme="majorHAnsi" w:eastAsia="Times New Roman" w:hAnsiTheme="majorHAnsi" w:cs="Times New Roman"/>
          <w:sz w:val="24"/>
          <w:szCs w:val="24"/>
        </w:rPr>
        <w:t xml:space="preserve">. </w:t>
      </w:r>
      <w:r w:rsidR="00BC1BB9">
        <w:t xml:space="preserve">It is a basic tenet of insurance law, that an insured is disabled when the activity in question would aggravate a serious condition affecting the insured’s health. </w:t>
      </w:r>
      <w:proofErr w:type="spellStart"/>
      <w:r w:rsidR="00BC1BB9" w:rsidRPr="00BC1BB9">
        <w:rPr>
          <w:b/>
          <w:i/>
        </w:rPr>
        <w:t>Lasser</w:t>
      </w:r>
      <w:proofErr w:type="spellEnd"/>
      <w:r w:rsidR="00BC1BB9" w:rsidRPr="00BC1BB9">
        <w:rPr>
          <w:b/>
          <w:i/>
        </w:rPr>
        <w:t xml:space="preserve"> v. Reliance Standard Life Ins. Co.</w:t>
      </w:r>
      <w:r w:rsidR="00BC1BB9">
        <w:t xml:space="preserve">, 344 F.3d 381 (3rd Cir. 2003). The treatise definition of disability holds that “[t]he insured is considered to be permanently and totally disabled when it is impossible to work without hazarding his or her health or risking his or her life,” 31 John Alan Appleman, Appleman on Insurance § 187.05[A], at 214 (2d ed.2007). No insurance company has the right to place the life of their insured in jeopardy by requiring that person to return to a position that would raise serious health risks. “Such an approach would force patients with serious health risks to cripple themselves, or even risk death, </w:t>
      </w:r>
      <w:proofErr w:type="gramStart"/>
      <w:r w:rsidR="00BC1BB9">
        <w:t>in order to</w:t>
      </w:r>
      <w:proofErr w:type="gramEnd"/>
      <w:r w:rsidR="00BC1BB9">
        <w:t xml:space="preserve"> be considered disabled. . . The law is not so harsh.” </w:t>
      </w:r>
      <w:proofErr w:type="spellStart"/>
      <w:r w:rsidR="00BC1BB9">
        <w:t>Lasser</w:t>
      </w:r>
      <w:proofErr w:type="spellEnd"/>
      <w:r w:rsidR="00BC1BB9">
        <w:t xml:space="preserve"> v. Reliance Standard Life Ins. Co., 146 F.Supp.2d 619, 628 (D.N.J. 2001) (Citing Herring v. Canada Life Assur. Co., 207 F.3d 1026 (8th Cir. 2000)).</w:t>
      </w:r>
    </w:p>
    <w:p w:rsidR="00BC1BB9" w:rsidRDefault="00BC1BB9" w:rsidP="00BC1BB9">
      <w:pPr>
        <w:spacing w:before="100" w:beforeAutospacing="1" w:after="100" w:afterAutospacing="1" w:line="240" w:lineRule="auto"/>
      </w:pPr>
    </w:p>
    <w:p w:rsidR="00DB2FA3" w:rsidRPr="00EC2722" w:rsidRDefault="00DB2FA3" w:rsidP="006407D5">
      <w:pPr>
        <w:spacing w:before="100" w:beforeAutospacing="1" w:after="100" w:afterAutospacing="1" w:line="240" w:lineRule="auto"/>
        <w:rPr>
          <w:rFonts w:asciiTheme="majorHAnsi" w:eastAsia="Times New Roman" w:hAnsiTheme="majorHAnsi" w:cs="Times New Roman"/>
          <w:sz w:val="24"/>
          <w:szCs w:val="24"/>
        </w:rPr>
      </w:pPr>
    </w:p>
    <w:p w:rsidR="008F3D34" w:rsidRPr="006407D5" w:rsidRDefault="006D4CDC" w:rsidP="006407D5">
      <w:pPr>
        <w:pStyle w:val="ListParagraph"/>
        <w:numPr>
          <w:ilvl w:val="0"/>
          <w:numId w:val="37"/>
        </w:numPr>
        <w:spacing w:before="100" w:beforeAutospacing="1" w:after="100" w:afterAutospacing="1" w:line="240" w:lineRule="auto"/>
        <w:rPr>
          <w:rFonts w:asciiTheme="majorHAnsi" w:eastAsia="Times New Roman" w:hAnsiTheme="majorHAnsi" w:cs="Times New Roman"/>
          <w:b/>
          <w:sz w:val="24"/>
          <w:szCs w:val="24"/>
        </w:rPr>
      </w:pPr>
      <w:r w:rsidRPr="006407D5">
        <w:rPr>
          <w:rFonts w:asciiTheme="majorHAnsi" w:eastAsia="Times New Roman" w:hAnsiTheme="majorHAnsi" w:cs="Times New Roman"/>
          <w:b/>
          <w:sz w:val="24"/>
          <w:szCs w:val="24"/>
        </w:rPr>
        <w:t>Whenever possible, o</w:t>
      </w:r>
      <w:r w:rsidR="008F3D34" w:rsidRPr="006407D5">
        <w:rPr>
          <w:rFonts w:asciiTheme="majorHAnsi" w:eastAsia="Times New Roman" w:hAnsiTheme="majorHAnsi" w:cs="Times New Roman"/>
          <w:b/>
          <w:sz w:val="24"/>
          <w:szCs w:val="24"/>
        </w:rPr>
        <w:t>bjectively document the symptoms and functional limitations.</w:t>
      </w:r>
    </w:p>
    <w:p w:rsidR="001D62CF" w:rsidRPr="00134766" w:rsidRDefault="00FE215E" w:rsidP="009A0F9F">
      <w:pPr>
        <w:spacing w:before="100" w:beforeAutospacing="1" w:after="100" w:afterAutospacing="1" w:line="240" w:lineRule="auto"/>
        <w:rPr>
          <w:rFonts w:asciiTheme="majorHAnsi" w:eastAsia="Times New Roman" w:hAnsiTheme="majorHAnsi" w:cs="Times New Roman"/>
          <w:sz w:val="24"/>
          <w:szCs w:val="24"/>
        </w:rPr>
      </w:pPr>
      <w:r w:rsidRPr="00134766">
        <w:rPr>
          <w:rFonts w:asciiTheme="majorHAnsi" w:eastAsia="Times New Roman" w:hAnsiTheme="majorHAnsi" w:cs="Times New Roman"/>
          <w:sz w:val="24"/>
          <w:szCs w:val="24"/>
        </w:rPr>
        <w:t>The clinical longitudinal medical record is the first place the long</w:t>
      </w:r>
      <w:r w:rsidR="006407D5">
        <w:rPr>
          <w:rFonts w:asciiTheme="majorHAnsi" w:eastAsia="Times New Roman" w:hAnsiTheme="majorHAnsi" w:cs="Times New Roman"/>
          <w:sz w:val="24"/>
          <w:szCs w:val="24"/>
        </w:rPr>
        <w:t>-</w:t>
      </w:r>
      <w:r w:rsidRPr="00134766">
        <w:rPr>
          <w:rFonts w:asciiTheme="majorHAnsi" w:eastAsia="Times New Roman" w:hAnsiTheme="majorHAnsi" w:cs="Times New Roman"/>
          <w:sz w:val="24"/>
          <w:szCs w:val="24"/>
        </w:rPr>
        <w:t xml:space="preserve">term disability insurer will look to determine the length of the illness, the signs and symptoms documented in the </w:t>
      </w:r>
      <w:r w:rsidRPr="00134766">
        <w:rPr>
          <w:rFonts w:asciiTheme="majorHAnsi" w:eastAsia="Times New Roman" w:hAnsiTheme="majorHAnsi" w:cs="Times New Roman"/>
          <w:sz w:val="24"/>
          <w:szCs w:val="24"/>
        </w:rPr>
        <w:lastRenderedPageBreak/>
        <w:t xml:space="preserve">record, and what, if any, objective documentation of </w:t>
      </w:r>
      <w:r w:rsidR="008F3D34" w:rsidRPr="00134766">
        <w:rPr>
          <w:rFonts w:asciiTheme="majorHAnsi" w:eastAsia="Times New Roman" w:hAnsiTheme="majorHAnsi" w:cs="Times New Roman"/>
          <w:sz w:val="24"/>
          <w:szCs w:val="24"/>
        </w:rPr>
        <w:t xml:space="preserve">signs, symptoms and </w:t>
      </w:r>
      <w:r w:rsidRPr="00134766">
        <w:rPr>
          <w:rFonts w:asciiTheme="majorHAnsi" w:eastAsia="Times New Roman" w:hAnsiTheme="majorHAnsi" w:cs="Times New Roman"/>
          <w:sz w:val="24"/>
          <w:szCs w:val="24"/>
        </w:rPr>
        <w:t>functional limitations exist.</w:t>
      </w:r>
      <w:r w:rsidR="009A0F9F" w:rsidRPr="00134766">
        <w:rPr>
          <w:rFonts w:asciiTheme="majorHAnsi" w:eastAsia="Times New Roman" w:hAnsiTheme="majorHAnsi" w:cs="Times New Roman"/>
          <w:sz w:val="24"/>
          <w:szCs w:val="24"/>
        </w:rPr>
        <w:t xml:space="preserve"> </w:t>
      </w:r>
    </w:p>
    <w:p w:rsidR="0079467E" w:rsidRPr="00134766" w:rsidRDefault="009A0F9F" w:rsidP="00052C5E">
      <w:pPr>
        <w:spacing w:before="100" w:beforeAutospacing="1" w:after="100" w:afterAutospacing="1" w:line="240" w:lineRule="auto"/>
        <w:rPr>
          <w:rFonts w:asciiTheme="majorHAnsi" w:eastAsia="Times New Roman" w:hAnsiTheme="majorHAnsi" w:cs="Times New Roman"/>
          <w:sz w:val="24"/>
          <w:szCs w:val="24"/>
        </w:rPr>
      </w:pPr>
      <w:r w:rsidRPr="00134766">
        <w:rPr>
          <w:rFonts w:asciiTheme="majorHAnsi" w:eastAsia="Times New Roman" w:hAnsiTheme="majorHAnsi" w:cs="Times New Roman"/>
          <w:sz w:val="24"/>
          <w:szCs w:val="24"/>
        </w:rPr>
        <w:t>The primary concern of m</w:t>
      </w:r>
      <w:r w:rsidR="001D62CF" w:rsidRPr="00134766">
        <w:rPr>
          <w:rFonts w:asciiTheme="majorHAnsi" w:eastAsia="Times New Roman" w:hAnsiTheme="majorHAnsi" w:cs="Times New Roman"/>
          <w:sz w:val="24"/>
          <w:szCs w:val="24"/>
        </w:rPr>
        <w:t>ost treating physicians</w:t>
      </w:r>
      <w:r w:rsidRPr="00134766">
        <w:rPr>
          <w:rFonts w:asciiTheme="majorHAnsi" w:eastAsia="Times New Roman" w:hAnsiTheme="majorHAnsi" w:cs="Times New Roman"/>
          <w:sz w:val="24"/>
          <w:szCs w:val="24"/>
        </w:rPr>
        <w:t xml:space="preserve"> is to </w:t>
      </w:r>
      <w:r w:rsidR="001D62CF" w:rsidRPr="00134766">
        <w:rPr>
          <w:rFonts w:asciiTheme="majorHAnsi" w:eastAsia="Times New Roman" w:hAnsiTheme="majorHAnsi" w:cs="Times New Roman"/>
          <w:sz w:val="24"/>
          <w:szCs w:val="24"/>
        </w:rPr>
        <w:t xml:space="preserve">document and </w:t>
      </w:r>
      <w:r w:rsidRPr="00134766">
        <w:rPr>
          <w:rFonts w:asciiTheme="majorHAnsi" w:eastAsia="Times New Roman" w:hAnsiTheme="majorHAnsi" w:cs="Times New Roman"/>
          <w:sz w:val="24"/>
          <w:szCs w:val="24"/>
        </w:rPr>
        <w:t xml:space="preserve">address patient </w:t>
      </w:r>
      <w:r w:rsidR="001D62CF" w:rsidRPr="00134766">
        <w:rPr>
          <w:rFonts w:asciiTheme="majorHAnsi" w:eastAsia="Times New Roman" w:hAnsiTheme="majorHAnsi" w:cs="Times New Roman"/>
          <w:sz w:val="24"/>
          <w:szCs w:val="24"/>
        </w:rPr>
        <w:t xml:space="preserve">signs and </w:t>
      </w:r>
      <w:r w:rsidRPr="00134766">
        <w:rPr>
          <w:rFonts w:asciiTheme="majorHAnsi" w:eastAsia="Times New Roman" w:hAnsiTheme="majorHAnsi" w:cs="Times New Roman"/>
          <w:sz w:val="24"/>
          <w:szCs w:val="24"/>
        </w:rPr>
        <w:t xml:space="preserve">symptoms, not </w:t>
      </w:r>
      <w:r w:rsidR="001D62CF" w:rsidRPr="00134766">
        <w:rPr>
          <w:rFonts w:asciiTheme="majorHAnsi" w:eastAsia="Times New Roman" w:hAnsiTheme="majorHAnsi" w:cs="Times New Roman"/>
          <w:sz w:val="24"/>
          <w:szCs w:val="24"/>
        </w:rPr>
        <w:t xml:space="preserve">necessarily </w:t>
      </w:r>
      <w:r w:rsidR="0079467E" w:rsidRPr="00134766">
        <w:rPr>
          <w:rFonts w:asciiTheme="majorHAnsi" w:eastAsia="Times New Roman" w:hAnsiTheme="majorHAnsi" w:cs="Times New Roman"/>
          <w:sz w:val="24"/>
          <w:szCs w:val="24"/>
        </w:rPr>
        <w:t xml:space="preserve">to record </w:t>
      </w:r>
      <w:r w:rsidRPr="00134766">
        <w:rPr>
          <w:rFonts w:asciiTheme="majorHAnsi" w:eastAsia="Times New Roman" w:hAnsiTheme="majorHAnsi" w:cs="Times New Roman"/>
          <w:sz w:val="24"/>
          <w:szCs w:val="24"/>
        </w:rPr>
        <w:t>functional limitations.</w:t>
      </w:r>
      <w:r w:rsidR="003C5A7B" w:rsidRPr="00134766">
        <w:rPr>
          <w:rFonts w:asciiTheme="majorHAnsi" w:eastAsia="Times New Roman" w:hAnsiTheme="majorHAnsi" w:cs="Times New Roman"/>
          <w:sz w:val="24"/>
          <w:szCs w:val="24"/>
        </w:rPr>
        <w:t xml:space="preserve"> </w:t>
      </w:r>
      <w:r w:rsidR="00FE215E" w:rsidRPr="00134766">
        <w:rPr>
          <w:rFonts w:asciiTheme="majorHAnsi" w:eastAsia="Times New Roman" w:hAnsiTheme="majorHAnsi" w:cs="Times New Roman"/>
          <w:sz w:val="24"/>
          <w:szCs w:val="24"/>
        </w:rPr>
        <w:t>A hallmark of ME</w:t>
      </w:r>
      <w:r w:rsidR="003C5A7B" w:rsidRPr="00134766">
        <w:rPr>
          <w:rFonts w:asciiTheme="majorHAnsi" w:eastAsia="Times New Roman" w:hAnsiTheme="majorHAnsi" w:cs="Times New Roman"/>
          <w:sz w:val="24"/>
          <w:szCs w:val="24"/>
        </w:rPr>
        <w:t>/CFS</w:t>
      </w:r>
      <w:r w:rsidR="00FE215E" w:rsidRPr="00134766">
        <w:rPr>
          <w:rFonts w:asciiTheme="majorHAnsi" w:eastAsia="Times New Roman" w:hAnsiTheme="majorHAnsi" w:cs="Times New Roman"/>
          <w:sz w:val="24"/>
          <w:szCs w:val="24"/>
        </w:rPr>
        <w:t xml:space="preserve"> is debilitating fatigue</w:t>
      </w:r>
      <w:r w:rsidR="003C5A7B" w:rsidRPr="00134766">
        <w:rPr>
          <w:rFonts w:asciiTheme="majorHAnsi" w:eastAsia="Times New Roman" w:hAnsiTheme="majorHAnsi" w:cs="Times New Roman"/>
          <w:sz w:val="24"/>
          <w:szCs w:val="24"/>
        </w:rPr>
        <w:t xml:space="preserve"> and post exertional malaise</w:t>
      </w:r>
      <w:r w:rsidR="006407D5">
        <w:rPr>
          <w:rFonts w:asciiTheme="majorHAnsi" w:eastAsia="Times New Roman" w:hAnsiTheme="majorHAnsi" w:cs="Times New Roman"/>
          <w:sz w:val="24"/>
          <w:szCs w:val="24"/>
        </w:rPr>
        <w:t xml:space="preserve"> (PEM)</w:t>
      </w:r>
      <w:r w:rsidR="00FE215E" w:rsidRPr="00134766">
        <w:rPr>
          <w:rFonts w:asciiTheme="majorHAnsi" w:eastAsia="Times New Roman" w:hAnsiTheme="majorHAnsi" w:cs="Times New Roman"/>
          <w:sz w:val="24"/>
          <w:szCs w:val="24"/>
        </w:rPr>
        <w:t>.</w:t>
      </w:r>
      <w:r w:rsidR="003C5A7B" w:rsidRPr="00134766">
        <w:rPr>
          <w:rFonts w:asciiTheme="majorHAnsi" w:eastAsia="Times New Roman" w:hAnsiTheme="majorHAnsi" w:cs="Times New Roman"/>
          <w:sz w:val="24"/>
          <w:szCs w:val="24"/>
        </w:rPr>
        <w:t xml:space="preserve"> </w:t>
      </w:r>
      <w:r w:rsidR="00FE215E" w:rsidRPr="00134766">
        <w:rPr>
          <w:rFonts w:asciiTheme="majorHAnsi" w:eastAsia="Times New Roman" w:hAnsiTheme="majorHAnsi" w:cs="Times New Roman"/>
          <w:sz w:val="24"/>
          <w:szCs w:val="24"/>
        </w:rPr>
        <w:t xml:space="preserve">The </w:t>
      </w:r>
      <w:r w:rsidR="000B00E4" w:rsidRPr="00134766">
        <w:rPr>
          <w:rFonts w:asciiTheme="majorHAnsi" w:eastAsia="Times New Roman" w:hAnsiTheme="majorHAnsi" w:cs="Times New Roman"/>
          <w:sz w:val="24"/>
          <w:szCs w:val="24"/>
        </w:rPr>
        <w:t xml:space="preserve">LTD </w:t>
      </w:r>
      <w:r w:rsidR="00FE215E" w:rsidRPr="00134766">
        <w:rPr>
          <w:rFonts w:asciiTheme="majorHAnsi" w:eastAsia="Times New Roman" w:hAnsiTheme="majorHAnsi" w:cs="Times New Roman"/>
          <w:sz w:val="24"/>
          <w:szCs w:val="24"/>
        </w:rPr>
        <w:t>insurer will examine the medical record to determine whether the p</w:t>
      </w:r>
      <w:r w:rsidR="00C62B03" w:rsidRPr="00134766">
        <w:rPr>
          <w:rFonts w:asciiTheme="majorHAnsi" w:eastAsia="Times New Roman" w:hAnsiTheme="majorHAnsi" w:cs="Times New Roman"/>
          <w:sz w:val="24"/>
          <w:szCs w:val="24"/>
        </w:rPr>
        <w:t>hysician</w:t>
      </w:r>
      <w:r w:rsidR="000B00E4" w:rsidRPr="00134766">
        <w:rPr>
          <w:rFonts w:asciiTheme="majorHAnsi" w:eastAsia="Times New Roman" w:hAnsiTheme="majorHAnsi" w:cs="Times New Roman"/>
          <w:sz w:val="24"/>
          <w:szCs w:val="24"/>
        </w:rPr>
        <w:t xml:space="preserve"> has</w:t>
      </w:r>
      <w:r w:rsidR="00C62B03" w:rsidRPr="00134766">
        <w:rPr>
          <w:rFonts w:asciiTheme="majorHAnsi" w:eastAsia="Times New Roman" w:hAnsiTheme="majorHAnsi" w:cs="Times New Roman"/>
          <w:sz w:val="24"/>
          <w:szCs w:val="24"/>
        </w:rPr>
        <w:t xml:space="preserve"> record</w:t>
      </w:r>
      <w:r w:rsidR="000B00E4" w:rsidRPr="00134766">
        <w:rPr>
          <w:rFonts w:asciiTheme="majorHAnsi" w:eastAsia="Times New Roman" w:hAnsiTheme="majorHAnsi" w:cs="Times New Roman"/>
          <w:sz w:val="24"/>
          <w:szCs w:val="24"/>
        </w:rPr>
        <w:t>ed</w:t>
      </w:r>
      <w:r w:rsidR="00C62B03" w:rsidRPr="00134766">
        <w:rPr>
          <w:rFonts w:asciiTheme="majorHAnsi" w:eastAsia="Times New Roman" w:hAnsiTheme="majorHAnsi" w:cs="Times New Roman"/>
          <w:sz w:val="24"/>
          <w:szCs w:val="24"/>
        </w:rPr>
        <w:t xml:space="preserve"> fatigue </w:t>
      </w:r>
      <w:r w:rsidR="006407D5">
        <w:rPr>
          <w:rFonts w:asciiTheme="majorHAnsi" w:eastAsia="Times New Roman" w:hAnsiTheme="majorHAnsi" w:cs="Times New Roman"/>
          <w:sz w:val="24"/>
          <w:szCs w:val="24"/>
        </w:rPr>
        <w:t xml:space="preserve">and PEM </w:t>
      </w:r>
      <w:r w:rsidR="00C62B03" w:rsidRPr="00134766">
        <w:rPr>
          <w:rFonts w:asciiTheme="majorHAnsi" w:eastAsia="Times New Roman" w:hAnsiTheme="majorHAnsi" w:cs="Times New Roman"/>
          <w:sz w:val="24"/>
          <w:szCs w:val="24"/>
        </w:rPr>
        <w:t>complaints during each visit, if medications were prescribed to address those complaints, the response, positive or negative the patient had to the medications, and any objective testing done to document it.</w:t>
      </w:r>
      <w:r w:rsidR="0079467E" w:rsidRPr="00134766">
        <w:rPr>
          <w:rFonts w:asciiTheme="majorHAnsi" w:eastAsia="Times New Roman" w:hAnsiTheme="majorHAnsi" w:cs="Times New Roman"/>
          <w:sz w:val="24"/>
          <w:szCs w:val="24"/>
        </w:rPr>
        <w:t xml:space="preserve"> The insurance reviewer will </w:t>
      </w:r>
      <w:r w:rsidR="006407D5">
        <w:rPr>
          <w:rFonts w:asciiTheme="majorHAnsi" w:eastAsia="Times New Roman" w:hAnsiTheme="majorHAnsi" w:cs="Times New Roman"/>
          <w:sz w:val="24"/>
          <w:szCs w:val="24"/>
        </w:rPr>
        <w:t xml:space="preserve">also </w:t>
      </w:r>
      <w:r w:rsidR="0079467E" w:rsidRPr="00134766">
        <w:rPr>
          <w:rFonts w:asciiTheme="majorHAnsi" w:eastAsia="Times New Roman" w:hAnsiTheme="majorHAnsi" w:cs="Times New Roman"/>
          <w:sz w:val="24"/>
          <w:szCs w:val="24"/>
        </w:rPr>
        <w:t xml:space="preserve">often ask the treating physician to answer questions about the claimant’s functional abilities. </w:t>
      </w:r>
    </w:p>
    <w:p w:rsidR="0079467E" w:rsidRPr="00134766" w:rsidRDefault="000B00E4" w:rsidP="00052C5E">
      <w:pPr>
        <w:spacing w:before="100" w:beforeAutospacing="1" w:after="100" w:afterAutospacing="1" w:line="240" w:lineRule="auto"/>
        <w:rPr>
          <w:rFonts w:asciiTheme="majorHAnsi" w:eastAsia="Times New Roman" w:hAnsiTheme="majorHAnsi" w:cs="Times New Roman"/>
          <w:sz w:val="24"/>
          <w:szCs w:val="24"/>
        </w:rPr>
      </w:pPr>
      <w:r w:rsidRPr="00134766">
        <w:rPr>
          <w:rFonts w:asciiTheme="majorHAnsi" w:eastAsia="Times New Roman" w:hAnsiTheme="majorHAnsi" w:cs="Times New Roman"/>
          <w:sz w:val="24"/>
          <w:szCs w:val="24"/>
        </w:rPr>
        <w:t>Once again, the patient</w:t>
      </w:r>
      <w:r w:rsidR="006D4CDC" w:rsidRPr="00134766">
        <w:rPr>
          <w:rFonts w:asciiTheme="majorHAnsi" w:eastAsia="Times New Roman" w:hAnsiTheme="majorHAnsi" w:cs="Times New Roman"/>
          <w:sz w:val="24"/>
          <w:szCs w:val="24"/>
        </w:rPr>
        <w:t>’s journal</w:t>
      </w:r>
      <w:r w:rsidRPr="00134766">
        <w:rPr>
          <w:rFonts w:asciiTheme="majorHAnsi" w:eastAsia="Times New Roman" w:hAnsiTheme="majorHAnsi" w:cs="Times New Roman"/>
          <w:sz w:val="24"/>
          <w:szCs w:val="24"/>
        </w:rPr>
        <w:t xml:space="preserve"> record of complaints and </w:t>
      </w:r>
      <w:r w:rsidR="0079467E" w:rsidRPr="00134766">
        <w:rPr>
          <w:rFonts w:asciiTheme="majorHAnsi" w:eastAsia="Times New Roman" w:hAnsiTheme="majorHAnsi" w:cs="Times New Roman"/>
          <w:sz w:val="24"/>
          <w:szCs w:val="24"/>
        </w:rPr>
        <w:t xml:space="preserve">functional </w:t>
      </w:r>
      <w:r w:rsidRPr="00134766">
        <w:rPr>
          <w:rFonts w:asciiTheme="majorHAnsi" w:eastAsia="Times New Roman" w:hAnsiTheme="majorHAnsi" w:cs="Times New Roman"/>
          <w:sz w:val="24"/>
          <w:szCs w:val="24"/>
        </w:rPr>
        <w:t xml:space="preserve">limitations within the chart </w:t>
      </w:r>
      <w:r w:rsidR="0079467E" w:rsidRPr="00134766">
        <w:rPr>
          <w:rFonts w:asciiTheme="majorHAnsi" w:eastAsia="Times New Roman" w:hAnsiTheme="majorHAnsi" w:cs="Times New Roman"/>
          <w:sz w:val="24"/>
          <w:szCs w:val="24"/>
        </w:rPr>
        <w:t>will give the physician the ability to reply to those questions</w:t>
      </w:r>
      <w:r w:rsidRPr="00134766">
        <w:rPr>
          <w:rFonts w:asciiTheme="majorHAnsi" w:eastAsia="Times New Roman" w:hAnsiTheme="majorHAnsi" w:cs="Times New Roman"/>
          <w:sz w:val="24"/>
          <w:szCs w:val="24"/>
        </w:rPr>
        <w:t xml:space="preserve">. </w:t>
      </w:r>
    </w:p>
    <w:p w:rsidR="000B00E4" w:rsidRPr="00134766" w:rsidRDefault="004B32FB" w:rsidP="00052C5E">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In disability claims, </w:t>
      </w:r>
      <w:r w:rsidR="00C6787F">
        <w:rPr>
          <w:rFonts w:asciiTheme="majorHAnsi" w:eastAsia="Times New Roman" w:hAnsiTheme="majorHAnsi" w:cs="Times New Roman"/>
          <w:sz w:val="24"/>
          <w:szCs w:val="24"/>
        </w:rPr>
        <w:t xml:space="preserve">medical </w:t>
      </w:r>
      <w:r>
        <w:rPr>
          <w:rFonts w:asciiTheme="majorHAnsi" w:eastAsia="Times New Roman" w:hAnsiTheme="majorHAnsi" w:cs="Times New Roman"/>
          <w:sz w:val="24"/>
          <w:szCs w:val="24"/>
        </w:rPr>
        <w:t xml:space="preserve">documentation of physical exam findings during each visit, as well as, signs and symptoms, treatment plans, and objective test results </w:t>
      </w:r>
      <w:r w:rsidR="00C6787F">
        <w:rPr>
          <w:rFonts w:asciiTheme="majorHAnsi" w:eastAsia="Times New Roman" w:hAnsiTheme="majorHAnsi" w:cs="Times New Roman"/>
          <w:sz w:val="24"/>
          <w:szCs w:val="24"/>
        </w:rPr>
        <w:t>often control the outcome of the claim. The patient chart charts the course of the claim.</w:t>
      </w:r>
    </w:p>
    <w:p w:rsidR="0029562B" w:rsidRPr="00134766" w:rsidRDefault="0079467E" w:rsidP="00052C5E">
      <w:pPr>
        <w:spacing w:before="100" w:beforeAutospacing="1" w:after="100" w:afterAutospacing="1" w:line="240" w:lineRule="auto"/>
        <w:rPr>
          <w:rFonts w:asciiTheme="majorHAnsi" w:eastAsia="Times New Roman" w:hAnsiTheme="majorHAnsi" w:cs="Times New Roman"/>
          <w:sz w:val="24"/>
          <w:szCs w:val="24"/>
        </w:rPr>
      </w:pPr>
      <w:r w:rsidRPr="00134766">
        <w:rPr>
          <w:rFonts w:asciiTheme="majorHAnsi" w:eastAsia="Times New Roman" w:hAnsiTheme="majorHAnsi" w:cs="Times New Roman"/>
          <w:sz w:val="24"/>
          <w:szCs w:val="24"/>
        </w:rPr>
        <w:t>C</w:t>
      </w:r>
      <w:r w:rsidR="00C62B03" w:rsidRPr="00134766">
        <w:rPr>
          <w:rFonts w:asciiTheme="majorHAnsi" w:eastAsia="Times New Roman" w:hAnsiTheme="majorHAnsi" w:cs="Times New Roman"/>
          <w:sz w:val="24"/>
          <w:szCs w:val="24"/>
        </w:rPr>
        <w:t xml:space="preserve">ardio pulmonary exercise testing (CPET) </w:t>
      </w:r>
      <w:r w:rsidRPr="00134766">
        <w:rPr>
          <w:rFonts w:asciiTheme="majorHAnsi" w:eastAsia="Times New Roman" w:hAnsiTheme="majorHAnsi" w:cs="Times New Roman"/>
          <w:sz w:val="24"/>
          <w:szCs w:val="24"/>
        </w:rPr>
        <w:t xml:space="preserve">is a diagnostic </w:t>
      </w:r>
      <w:r w:rsidR="00C6787F">
        <w:rPr>
          <w:rFonts w:asciiTheme="majorHAnsi" w:eastAsia="Times New Roman" w:hAnsiTheme="majorHAnsi" w:cs="Times New Roman"/>
          <w:sz w:val="24"/>
          <w:szCs w:val="24"/>
        </w:rPr>
        <w:t xml:space="preserve">test </w:t>
      </w:r>
      <w:r w:rsidRPr="00134766">
        <w:rPr>
          <w:rFonts w:asciiTheme="majorHAnsi" w:eastAsia="Times New Roman" w:hAnsiTheme="majorHAnsi" w:cs="Times New Roman"/>
          <w:sz w:val="24"/>
          <w:szCs w:val="24"/>
        </w:rPr>
        <w:t xml:space="preserve">ordered by some ME/CFS specialists to determine the extent of the </w:t>
      </w:r>
      <w:r w:rsidR="001D6E9E" w:rsidRPr="00134766">
        <w:rPr>
          <w:rFonts w:asciiTheme="majorHAnsi" w:eastAsia="Times New Roman" w:hAnsiTheme="majorHAnsi" w:cs="Times New Roman"/>
          <w:sz w:val="24"/>
          <w:szCs w:val="24"/>
        </w:rPr>
        <w:t>functional limitations associated with fatigue and PEM</w:t>
      </w:r>
      <w:r w:rsidR="00C62B03" w:rsidRPr="00134766">
        <w:rPr>
          <w:rFonts w:asciiTheme="majorHAnsi" w:eastAsia="Times New Roman" w:hAnsiTheme="majorHAnsi" w:cs="Times New Roman"/>
          <w:sz w:val="24"/>
          <w:szCs w:val="24"/>
        </w:rPr>
        <w:t xml:space="preserve">. </w:t>
      </w:r>
      <w:r w:rsidR="00A17B5D" w:rsidRPr="00134766">
        <w:rPr>
          <w:rFonts w:asciiTheme="majorHAnsi" w:eastAsia="Times New Roman" w:hAnsiTheme="majorHAnsi" w:cs="Times New Roman"/>
          <w:sz w:val="24"/>
          <w:szCs w:val="24"/>
        </w:rPr>
        <w:t>CPET testing is administered over two days when the patient pedals on a stationary bike while resistance is added incrementally. It monitors cardiovascular, respirat</w:t>
      </w:r>
      <w:r w:rsidR="00D32803" w:rsidRPr="00134766">
        <w:rPr>
          <w:rFonts w:asciiTheme="majorHAnsi" w:eastAsia="Times New Roman" w:hAnsiTheme="majorHAnsi" w:cs="Times New Roman"/>
          <w:sz w:val="24"/>
          <w:szCs w:val="24"/>
        </w:rPr>
        <w:t>ion</w:t>
      </w:r>
      <w:r w:rsidR="00A17B5D" w:rsidRPr="00134766">
        <w:rPr>
          <w:rFonts w:asciiTheme="majorHAnsi" w:eastAsia="Times New Roman" w:hAnsiTheme="majorHAnsi" w:cs="Times New Roman"/>
          <w:sz w:val="24"/>
          <w:szCs w:val="24"/>
        </w:rPr>
        <w:t xml:space="preserve"> and recovery responses, workload, effort and metabolic response/oxygen consumption. The ME</w:t>
      </w:r>
      <w:r w:rsidR="006D4CDC" w:rsidRPr="00134766">
        <w:rPr>
          <w:rFonts w:asciiTheme="majorHAnsi" w:eastAsia="Times New Roman" w:hAnsiTheme="majorHAnsi" w:cs="Times New Roman"/>
          <w:sz w:val="24"/>
          <w:szCs w:val="24"/>
        </w:rPr>
        <w:t xml:space="preserve">/CFS </w:t>
      </w:r>
      <w:r w:rsidR="00A17B5D" w:rsidRPr="00134766">
        <w:rPr>
          <w:rFonts w:asciiTheme="majorHAnsi" w:eastAsia="Times New Roman" w:hAnsiTheme="majorHAnsi" w:cs="Times New Roman"/>
          <w:sz w:val="24"/>
          <w:szCs w:val="24"/>
        </w:rPr>
        <w:t xml:space="preserve">patient performs significantly worse on day two which documents the existence of post exertional malaise. </w:t>
      </w:r>
      <w:r w:rsidR="003B0324" w:rsidRPr="00134766">
        <w:rPr>
          <w:rStyle w:val="EndnoteReference"/>
          <w:rFonts w:asciiTheme="majorHAnsi" w:eastAsia="Times New Roman" w:hAnsiTheme="majorHAnsi" w:cs="Times New Roman"/>
          <w:sz w:val="24"/>
          <w:szCs w:val="24"/>
        </w:rPr>
        <w:endnoteReference w:id="5"/>
      </w:r>
    </w:p>
    <w:p w:rsidR="001D6E9E" w:rsidRPr="00134766" w:rsidRDefault="001D6E9E" w:rsidP="00052C5E">
      <w:pPr>
        <w:spacing w:before="100" w:beforeAutospacing="1" w:after="100" w:afterAutospacing="1" w:line="240" w:lineRule="auto"/>
        <w:rPr>
          <w:rFonts w:asciiTheme="majorHAnsi" w:eastAsia="Times New Roman" w:hAnsiTheme="majorHAnsi" w:cs="Times New Roman"/>
          <w:sz w:val="24"/>
          <w:szCs w:val="24"/>
        </w:rPr>
      </w:pPr>
      <w:r w:rsidRPr="00134766">
        <w:rPr>
          <w:rFonts w:asciiTheme="majorHAnsi" w:eastAsia="Times New Roman" w:hAnsiTheme="majorHAnsi" w:cs="Times New Roman"/>
          <w:sz w:val="24"/>
          <w:szCs w:val="24"/>
        </w:rPr>
        <w:t>While CPET is considered the “gold standard” to objectively document PEM</w:t>
      </w:r>
      <w:r w:rsidR="00AD58EE" w:rsidRPr="00134766">
        <w:rPr>
          <w:rFonts w:asciiTheme="majorHAnsi" w:eastAsia="Times New Roman" w:hAnsiTheme="majorHAnsi" w:cs="Times New Roman"/>
          <w:sz w:val="24"/>
          <w:szCs w:val="24"/>
        </w:rPr>
        <w:t xml:space="preserve"> in CFS/ME patients</w:t>
      </w:r>
      <w:r w:rsidRPr="00134766">
        <w:rPr>
          <w:rFonts w:asciiTheme="majorHAnsi" w:eastAsia="Times New Roman" w:hAnsiTheme="majorHAnsi" w:cs="Times New Roman"/>
          <w:sz w:val="24"/>
          <w:szCs w:val="24"/>
        </w:rPr>
        <w:t>, it must be performed by a pro</w:t>
      </w:r>
      <w:r w:rsidR="00500791" w:rsidRPr="00134766">
        <w:rPr>
          <w:rFonts w:asciiTheme="majorHAnsi" w:eastAsia="Times New Roman" w:hAnsiTheme="majorHAnsi" w:cs="Times New Roman"/>
          <w:sz w:val="24"/>
          <w:szCs w:val="24"/>
        </w:rPr>
        <w:t>vider who understands</w:t>
      </w:r>
      <w:r w:rsidRPr="00134766">
        <w:rPr>
          <w:rFonts w:asciiTheme="majorHAnsi" w:eastAsia="Times New Roman" w:hAnsiTheme="majorHAnsi" w:cs="Times New Roman"/>
          <w:sz w:val="24"/>
          <w:szCs w:val="24"/>
        </w:rPr>
        <w:t xml:space="preserve"> ME</w:t>
      </w:r>
      <w:r w:rsidR="00500791" w:rsidRPr="00134766">
        <w:rPr>
          <w:rFonts w:asciiTheme="majorHAnsi" w:eastAsia="Times New Roman" w:hAnsiTheme="majorHAnsi" w:cs="Times New Roman"/>
          <w:sz w:val="24"/>
          <w:szCs w:val="24"/>
        </w:rPr>
        <w:t>/CFS</w:t>
      </w:r>
      <w:r w:rsidRPr="00134766">
        <w:rPr>
          <w:rFonts w:asciiTheme="majorHAnsi" w:eastAsia="Times New Roman" w:hAnsiTheme="majorHAnsi" w:cs="Times New Roman"/>
          <w:sz w:val="24"/>
          <w:szCs w:val="24"/>
        </w:rPr>
        <w:t xml:space="preserve"> to avoid misinterpreting the results. </w:t>
      </w:r>
    </w:p>
    <w:p w:rsidR="00A17B5D" w:rsidRPr="00134766" w:rsidRDefault="00AD58EE" w:rsidP="00052C5E">
      <w:pPr>
        <w:spacing w:before="100" w:beforeAutospacing="1" w:after="100" w:afterAutospacing="1" w:line="240" w:lineRule="auto"/>
        <w:rPr>
          <w:rFonts w:asciiTheme="majorHAnsi" w:eastAsia="Times New Roman" w:hAnsiTheme="majorHAnsi" w:cs="Times New Roman"/>
          <w:sz w:val="24"/>
          <w:szCs w:val="24"/>
        </w:rPr>
      </w:pPr>
      <w:r w:rsidRPr="00134766">
        <w:rPr>
          <w:rFonts w:asciiTheme="majorHAnsi" w:eastAsia="Times New Roman" w:hAnsiTheme="majorHAnsi" w:cs="Times New Roman"/>
          <w:sz w:val="24"/>
          <w:szCs w:val="24"/>
        </w:rPr>
        <w:t>ME</w:t>
      </w:r>
      <w:r w:rsidR="006D4CDC" w:rsidRPr="00134766">
        <w:rPr>
          <w:rFonts w:asciiTheme="majorHAnsi" w:eastAsia="Times New Roman" w:hAnsiTheme="majorHAnsi" w:cs="Times New Roman"/>
          <w:sz w:val="24"/>
          <w:szCs w:val="24"/>
        </w:rPr>
        <w:t>/CFS</w:t>
      </w:r>
      <w:r w:rsidRPr="00134766">
        <w:rPr>
          <w:rFonts w:asciiTheme="majorHAnsi" w:eastAsia="Times New Roman" w:hAnsiTheme="majorHAnsi" w:cs="Times New Roman"/>
          <w:sz w:val="24"/>
          <w:szCs w:val="24"/>
        </w:rPr>
        <w:t xml:space="preserve"> patients </w:t>
      </w:r>
      <w:r w:rsidR="006D4CDC" w:rsidRPr="00134766">
        <w:rPr>
          <w:rFonts w:asciiTheme="majorHAnsi" w:eastAsia="Times New Roman" w:hAnsiTheme="majorHAnsi" w:cs="Times New Roman"/>
          <w:sz w:val="24"/>
          <w:szCs w:val="24"/>
        </w:rPr>
        <w:t xml:space="preserve">often complain of </w:t>
      </w:r>
      <w:r w:rsidR="00C6787F">
        <w:rPr>
          <w:rFonts w:asciiTheme="majorHAnsi" w:eastAsia="Times New Roman" w:hAnsiTheme="majorHAnsi" w:cs="Times New Roman"/>
          <w:sz w:val="24"/>
          <w:szCs w:val="24"/>
        </w:rPr>
        <w:t xml:space="preserve">many </w:t>
      </w:r>
      <w:r w:rsidR="00500791" w:rsidRPr="00134766">
        <w:rPr>
          <w:rFonts w:asciiTheme="majorHAnsi" w:eastAsia="Times New Roman" w:hAnsiTheme="majorHAnsi" w:cs="Times New Roman"/>
          <w:sz w:val="24"/>
          <w:szCs w:val="24"/>
        </w:rPr>
        <w:t xml:space="preserve">cognitive deficits including </w:t>
      </w:r>
      <w:r w:rsidR="0069607A" w:rsidRPr="00134766">
        <w:rPr>
          <w:rFonts w:asciiTheme="majorHAnsi" w:eastAsia="Times New Roman" w:hAnsiTheme="majorHAnsi" w:cs="Times New Roman"/>
          <w:sz w:val="24"/>
          <w:szCs w:val="24"/>
        </w:rPr>
        <w:t xml:space="preserve">impaired information processing speed, </w:t>
      </w:r>
      <w:r w:rsidR="00BC37B7" w:rsidRPr="00134766">
        <w:rPr>
          <w:rFonts w:asciiTheme="majorHAnsi" w:eastAsia="Times New Roman" w:hAnsiTheme="majorHAnsi" w:cs="Times New Roman"/>
          <w:sz w:val="24"/>
          <w:szCs w:val="24"/>
        </w:rPr>
        <w:t xml:space="preserve">decline in </w:t>
      </w:r>
      <w:r w:rsidR="00500791" w:rsidRPr="00134766">
        <w:rPr>
          <w:rFonts w:asciiTheme="majorHAnsi" w:eastAsia="Times New Roman" w:hAnsiTheme="majorHAnsi" w:cs="Times New Roman"/>
          <w:sz w:val="24"/>
          <w:szCs w:val="24"/>
        </w:rPr>
        <w:t>verbal fluency,</w:t>
      </w:r>
      <w:r w:rsidR="00A147CE" w:rsidRPr="00134766">
        <w:rPr>
          <w:rFonts w:asciiTheme="majorHAnsi" w:eastAsia="Times New Roman" w:hAnsiTheme="majorHAnsi" w:cs="Times New Roman"/>
          <w:sz w:val="24"/>
          <w:szCs w:val="24"/>
        </w:rPr>
        <w:t xml:space="preserve"> </w:t>
      </w:r>
      <w:r w:rsidR="0069607A" w:rsidRPr="00134766">
        <w:rPr>
          <w:rFonts w:asciiTheme="majorHAnsi" w:eastAsia="Times New Roman" w:hAnsiTheme="majorHAnsi" w:cs="Times New Roman"/>
          <w:sz w:val="24"/>
          <w:szCs w:val="24"/>
        </w:rPr>
        <w:t>memory and concentration issues.</w:t>
      </w:r>
      <w:r w:rsidR="003B0324" w:rsidRPr="00134766">
        <w:rPr>
          <w:rStyle w:val="EndnoteReference"/>
          <w:rFonts w:asciiTheme="majorHAnsi" w:eastAsia="Times New Roman" w:hAnsiTheme="majorHAnsi" w:cs="Times New Roman"/>
          <w:sz w:val="24"/>
          <w:szCs w:val="24"/>
        </w:rPr>
        <w:endnoteReference w:id="6"/>
      </w:r>
      <w:r w:rsidRPr="00134766">
        <w:rPr>
          <w:rFonts w:asciiTheme="majorHAnsi" w:eastAsia="Times New Roman" w:hAnsiTheme="majorHAnsi" w:cs="Times New Roman"/>
          <w:sz w:val="24"/>
          <w:szCs w:val="24"/>
        </w:rPr>
        <w:t xml:space="preserve"> </w:t>
      </w:r>
      <w:r w:rsidR="00C6787F">
        <w:rPr>
          <w:rFonts w:asciiTheme="majorHAnsi" w:eastAsia="Times New Roman" w:hAnsiTheme="majorHAnsi" w:cs="Times New Roman"/>
          <w:sz w:val="24"/>
          <w:szCs w:val="24"/>
        </w:rPr>
        <w:t>T</w:t>
      </w:r>
      <w:r w:rsidR="0069607A" w:rsidRPr="00134766">
        <w:rPr>
          <w:rFonts w:asciiTheme="majorHAnsi" w:eastAsia="Times New Roman" w:hAnsiTheme="majorHAnsi" w:cs="Times New Roman"/>
          <w:sz w:val="24"/>
          <w:szCs w:val="24"/>
        </w:rPr>
        <w:t xml:space="preserve">he </w:t>
      </w:r>
      <w:r w:rsidR="00C6787F">
        <w:rPr>
          <w:rFonts w:asciiTheme="majorHAnsi" w:eastAsia="Times New Roman" w:hAnsiTheme="majorHAnsi" w:cs="Times New Roman"/>
          <w:sz w:val="24"/>
          <w:szCs w:val="24"/>
        </w:rPr>
        <w:t xml:space="preserve">ME/CFS </w:t>
      </w:r>
      <w:r w:rsidR="0069607A" w:rsidRPr="00134766">
        <w:rPr>
          <w:rFonts w:asciiTheme="majorHAnsi" w:eastAsia="Times New Roman" w:hAnsiTheme="majorHAnsi" w:cs="Times New Roman"/>
          <w:sz w:val="24"/>
          <w:szCs w:val="24"/>
        </w:rPr>
        <w:t xml:space="preserve">patient </w:t>
      </w:r>
      <w:r w:rsidR="00C6787F">
        <w:rPr>
          <w:rFonts w:asciiTheme="majorHAnsi" w:eastAsia="Times New Roman" w:hAnsiTheme="majorHAnsi" w:cs="Times New Roman"/>
          <w:sz w:val="24"/>
          <w:szCs w:val="24"/>
        </w:rPr>
        <w:t>should</w:t>
      </w:r>
      <w:r w:rsidR="0069607A" w:rsidRPr="00134766">
        <w:rPr>
          <w:rFonts w:asciiTheme="majorHAnsi" w:eastAsia="Times New Roman" w:hAnsiTheme="majorHAnsi" w:cs="Times New Roman"/>
          <w:sz w:val="24"/>
          <w:szCs w:val="24"/>
        </w:rPr>
        <w:t xml:space="preserve"> be tested by a neuropsychologist familiar with ME/CFS </w:t>
      </w:r>
      <w:r w:rsidR="00C6787F">
        <w:rPr>
          <w:rFonts w:asciiTheme="majorHAnsi" w:eastAsia="Times New Roman" w:hAnsiTheme="majorHAnsi" w:cs="Times New Roman"/>
          <w:sz w:val="24"/>
          <w:szCs w:val="24"/>
        </w:rPr>
        <w:t>to ensure the test results are accurately interpreted</w:t>
      </w:r>
      <w:r w:rsidR="0069607A" w:rsidRPr="00134766">
        <w:rPr>
          <w:rFonts w:asciiTheme="majorHAnsi" w:eastAsia="Times New Roman" w:hAnsiTheme="majorHAnsi" w:cs="Times New Roman"/>
          <w:sz w:val="24"/>
          <w:szCs w:val="24"/>
        </w:rPr>
        <w:t xml:space="preserve">. </w:t>
      </w:r>
    </w:p>
    <w:p w:rsidR="00A57221" w:rsidRPr="00134766" w:rsidRDefault="00500791" w:rsidP="00A57221">
      <w:pPr>
        <w:pStyle w:val="p"/>
        <w:shd w:val="clear" w:color="auto" w:fill="FFFFFF"/>
        <w:spacing w:before="166" w:beforeAutospacing="0" w:after="166" w:afterAutospacing="0"/>
        <w:rPr>
          <w:rFonts w:asciiTheme="majorHAnsi" w:hAnsiTheme="majorHAnsi"/>
        </w:rPr>
      </w:pPr>
      <w:r w:rsidRPr="00134766">
        <w:rPr>
          <w:rFonts w:asciiTheme="majorHAnsi" w:hAnsiTheme="majorHAnsi"/>
        </w:rPr>
        <w:t xml:space="preserve">The more </w:t>
      </w:r>
      <w:r w:rsidR="00BC37B7" w:rsidRPr="00134766">
        <w:rPr>
          <w:rFonts w:asciiTheme="majorHAnsi" w:hAnsiTheme="majorHAnsi"/>
        </w:rPr>
        <w:t xml:space="preserve">objective documentation of </w:t>
      </w:r>
      <w:r w:rsidR="00C6787F">
        <w:rPr>
          <w:rFonts w:asciiTheme="majorHAnsi" w:hAnsiTheme="majorHAnsi"/>
        </w:rPr>
        <w:t xml:space="preserve">the ME/CFS patient </w:t>
      </w:r>
      <w:r w:rsidR="00BC37B7" w:rsidRPr="00134766">
        <w:rPr>
          <w:rFonts w:asciiTheme="majorHAnsi" w:hAnsiTheme="majorHAnsi"/>
        </w:rPr>
        <w:t>complaints</w:t>
      </w:r>
      <w:r w:rsidR="00C6787F">
        <w:rPr>
          <w:rFonts w:asciiTheme="majorHAnsi" w:hAnsiTheme="majorHAnsi"/>
        </w:rPr>
        <w:t>,</w:t>
      </w:r>
      <w:r w:rsidR="00BC37B7" w:rsidRPr="00134766">
        <w:rPr>
          <w:rFonts w:asciiTheme="majorHAnsi" w:hAnsiTheme="majorHAnsi"/>
        </w:rPr>
        <w:t xml:space="preserve"> </w:t>
      </w:r>
      <w:r w:rsidR="00C6787F" w:rsidRPr="00C6787F">
        <w:rPr>
          <w:rFonts w:asciiTheme="majorHAnsi" w:hAnsiTheme="majorHAnsi"/>
        </w:rPr>
        <w:t xml:space="preserve">the stronger the case. </w:t>
      </w:r>
      <w:r w:rsidR="00A57221" w:rsidRPr="00134766">
        <w:rPr>
          <w:rFonts w:asciiTheme="majorHAnsi" w:hAnsiTheme="majorHAnsi"/>
        </w:rPr>
        <w:t xml:space="preserve"> </w:t>
      </w:r>
      <w:r w:rsidR="00BC37B7" w:rsidRPr="00134766">
        <w:rPr>
          <w:rFonts w:asciiTheme="majorHAnsi" w:hAnsiTheme="majorHAnsi"/>
        </w:rPr>
        <w:t xml:space="preserve"> (with, for example</w:t>
      </w:r>
      <w:r w:rsidR="00C6787F">
        <w:rPr>
          <w:rFonts w:asciiTheme="majorHAnsi" w:hAnsiTheme="majorHAnsi"/>
        </w:rPr>
        <w:t xml:space="preserve"> the above tests and</w:t>
      </w:r>
      <w:r w:rsidR="006407D5">
        <w:rPr>
          <w:rFonts w:asciiTheme="majorHAnsi" w:hAnsiTheme="majorHAnsi"/>
        </w:rPr>
        <w:t xml:space="preserve"> tilt table testing</w:t>
      </w:r>
      <w:r w:rsidR="006407D5">
        <w:rPr>
          <w:rStyle w:val="EndnoteReference"/>
          <w:rFonts w:asciiTheme="majorHAnsi" w:hAnsiTheme="majorHAnsi"/>
        </w:rPr>
        <w:endnoteReference w:id="7"/>
      </w:r>
      <w:r w:rsidR="00BC37B7" w:rsidRPr="00134766">
        <w:rPr>
          <w:rFonts w:asciiTheme="majorHAnsi" w:hAnsiTheme="majorHAnsi"/>
        </w:rPr>
        <w:t xml:space="preserve"> </w:t>
      </w:r>
      <w:r w:rsidR="00A57221" w:rsidRPr="00134766">
        <w:rPr>
          <w:rFonts w:asciiTheme="majorHAnsi" w:hAnsiTheme="majorHAnsi"/>
        </w:rPr>
        <w:t>EEGs</w:t>
      </w:r>
      <w:r w:rsidR="003B0324" w:rsidRPr="00134766">
        <w:rPr>
          <w:rStyle w:val="EndnoteReference"/>
          <w:rFonts w:asciiTheme="majorHAnsi" w:hAnsiTheme="majorHAnsi"/>
        </w:rPr>
        <w:endnoteReference w:id="8"/>
      </w:r>
      <w:r w:rsidR="00A57221" w:rsidRPr="00134766">
        <w:rPr>
          <w:rFonts w:asciiTheme="majorHAnsi" w:hAnsiTheme="majorHAnsi"/>
        </w:rPr>
        <w:t xml:space="preserve"> </w:t>
      </w:r>
      <w:r w:rsidR="003B0324" w:rsidRPr="00134766">
        <w:rPr>
          <w:rFonts w:asciiTheme="majorHAnsi" w:hAnsiTheme="majorHAnsi"/>
        </w:rPr>
        <w:t>QEEGs</w:t>
      </w:r>
      <w:r w:rsidR="008B0D2C" w:rsidRPr="00134766">
        <w:rPr>
          <w:rStyle w:val="EndnoteReference"/>
          <w:rFonts w:asciiTheme="majorHAnsi" w:hAnsiTheme="majorHAnsi"/>
        </w:rPr>
        <w:endnoteReference w:id="9"/>
      </w:r>
      <w:r w:rsidR="003B0324" w:rsidRPr="00134766">
        <w:rPr>
          <w:rFonts w:asciiTheme="majorHAnsi" w:hAnsiTheme="majorHAnsi"/>
        </w:rPr>
        <w:t>, SPECT</w:t>
      </w:r>
      <w:r w:rsidR="008B0D2C" w:rsidRPr="00134766">
        <w:rPr>
          <w:rStyle w:val="EndnoteReference"/>
          <w:rFonts w:asciiTheme="majorHAnsi" w:hAnsiTheme="majorHAnsi"/>
        </w:rPr>
        <w:endnoteReference w:id="10"/>
      </w:r>
      <w:r w:rsidR="003B0324" w:rsidRPr="00134766">
        <w:rPr>
          <w:rFonts w:asciiTheme="majorHAnsi" w:hAnsiTheme="majorHAnsi"/>
        </w:rPr>
        <w:t xml:space="preserve"> scans, </w:t>
      </w:r>
      <w:r w:rsidR="0079467E" w:rsidRPr="00134766">
        <w:rPr>
          <w:rFonts w:asciiTheme="majorHAnsi" w:hAnsiTheme="majorHAnsi"/>
        </w:rPr>
        <w:t>PET</w:t>
      </w:r>
      <w:r w:rsidR="00D93596" w:rsidRPr="00134766">
        <w:rPr>
          <w:rStyle w:val="EndnoteReference"/>
          <w:rFonts w:asciiTheme="majorHAnsi" w:hAnsiTheme="majorHAnsi"/>
        </w:rPr>
        <w:endnoteReference w:id="11"/>
      </w:r>
      <w:r w:rsidR="0079467E" w:rsidRPr="00134766">
        <w:rPr>
          <w:rFonts w:asciiTheme="majorHAnsi" w:hAnsiTheme="majorHAnsi"/>
        </w:rPr>
        <w:t xml:space="preserve"> scans </w:t>
      </w:r>
      <w:r w:rsidR="003B0324" w:rsidRPr="00134766">
        <w:rPr>
          <w:rFonts w:asciiTheme="majorHAnsi" w:hAnsiTheme="majorHAnsi"/>
        </w:rPr>
        <w:t xml:space="preserve">MRIs </w:t>
      </w:r>
      <w:r w:rsidR="00BC37B7" w:rsidRPr="00134766">
        <w:rPr>
          <w:rFonts w:asciiTheme="majorHAnsi" w:hAnsiTheme="majorHAnsi"/>
        </w:rPr>
        <w:t xml:space="preserve">etc.,) </w:t>
      </w:r>
      <w:r w:rsidR="00A57221" w:rsidRPr="00134766">
        <w:rPr>
          <w:vanish/>
          <w:color w:val="000000"/>
          <w:lang w:val="en"/>
        </w:rPr>
        <w:t>BEAM results indicated that the energy values of δ, θ, and α</w:t>
      </w:r>
      <w:r w:rsidR="00A57221" w:rsidRPr="00134766">
        <w:rPr>
          <w:vanish/>
          <w:color w:val="000000"/>
          <w:vertAlign w:val="subscript"/>
          <w:lang w:val="en"/>
        </w:rPr>
        <w:t>1</w:t>
      </w:r>
      <w:r w:rsidR="00A57221" w:rsidRPr="00134766">
        <w:rPr>
          <w:vanish/>
          <w:color w:val="000000"/>
          <w:lang w:val="en"/>
        </w:rPr>
        <w:t> waves significantly increased in the observation group, compared with the control group (</w:t>
      </w:r>
      <w:r w:rsidR="00A57221" w:rsidRPr="00134766">
        <w:rPr>
          <w:rStyle w:val="Emphasis"/>
          <w:vanish/>
          <w:color w:val="000000"/>
          <w:lang w:val="en"/>
        </w:rPr>
        <w:t>P</w:t>
      </w:r>
      <w:r w:rsidR="00A57221" w:rsidRPr="00134766">
        <w:rPr>
          <w:vanish/>
          <w:color w:val="000000"/>
          <w:lang w:val="en"/>
        </w:rPr>
        <w:t>&lt;0.05, </w:t>
      </w:r>
      <w:r w:rsidR="00A57221" w:rsidRPr="00134766">
        <w:rPr>
          <w:rStyle w:val="Emphasis"/>
          <w:vanish/>
          <w:color w:val="000000"/>
          <w:lang w:val="en"/>
        </w:rPr>
        <w:t>P</w:t>
      </w:r>
      <w:r w:rsidR="00A57221" w:rsidRPr="00134766">
        <w:rPr>
          <w:vanish/>
          <w:color w:val="000000"/>
          <w:lang w:val="en"/>
        </w:rPr>
        <w:t>&lt;0.01, respectively), which suggests that the brain electrical activities in CFS patients were significantly reduced and stayed in an inhibitory state; 2) the increase of δ, θ, and α</w:t>
      </w:r>
      <w:r w:rsidR="00A57221" w:rsidRPr="00134766">
        <w:rPr>
          <w:vanish/>
          <w:color w:val="000000"/>
          <w:vertAlign w:val="subscript"/>
          <w:lang w:val="en"/>
        </w:rPr>
        <w:t>1</w:t>
      </w:r>
      <w:r w:rsidR="00A57221" w:rsidRPr="00134766">
        <w:rPr>
          <w:vanish/>
          <w:color w:val="000000"/>
          <w:lang w:val="en"/>
        </w:rPr>
        <w:t> energy values in the right frontal and left occipital regions was more significant than other encephalic regions in CFS patients, indicating the region-specific encephalic distribution; 3) the correlation dimension in the observation group was significantly lower than the control group, suggesting decreased EEG complexity in CFS patients.</w:t>
      </w:r>
    </w:p>
    <w:p w:rsidR="00BC37B7" w:rsidRPr="00134766" w:rsidRDefault="00BC37B7" w:rsidP="00A57221">
      <w:pPr>
        <w:pStyle w:val="p"/>
        <w:shd w:val="clear" w:color="auto" w:fill="FFFFFF"/>
        <w:spacing w:before="166" w:beforeAutospacing="0" w:after="166" w:afterAutospacing="0"/>
        <w:rPr>
          <w:rFonts w:asciiTheme="majorHAnsi" w:hAnsiTheme="majorHAnsi"/>
        </w:rPr>
      </w:pPr>
    </w:p>
    <w:p w:rsidR="00500791" w:rsidRPr="00134766" w:rsidRDefault="00BC37B7" w:rsidP="00BC37B7">
      <w:pPr>
        <w:pStyle w:val="p"/>
        <w:numPr>
          <w:ilvl w:val="0"/>
          <w:numId w:val="37"/>
        </w:numPr>
        <w:shd w:val="clear" w:color="auto" w:fill="FFFFFF"/>
        <w:spacing w:before="166" w:beforeAutospacing="0" w:after="166" w:afterAutospacing="0"/>
        <w:rPr>
          <w:b/>
          <w:color w:val="000000"/>
          <w:lang w:val="en"/>
        </w:rPr>
      </w:pPr>
      <w:r w:rsidRPr="00134766">
        <w:rPr>
          <w:b/>
          <w:color w:val="000000"/>
          <w:lang w:val="en"/>
        </w:rPr>
        <w:t>Statements from family members and friends familiar with the ME/CFS claimant’s complaints and limitations help</w:t>
      </w:r>
    </w:p>
    <w:p w:rsidR="00BC37B7" w:rsidRPr="00134766" w:rsidRDefault="00BC37B7" w:rsidP="00BC37B7">
      <w:pPr>
        <w:pStyle w:val="p"/>
        <w:shd w:val="clear" w:color="auto" w:fill="FFFFFF"/>
        <w:spacing w:before="166" w:beforeAutospacing="0" w:after="166" w:afterAutospacing="0"/>
        <w:rPr>
          <w:b/>
          <w:color w:val="000000"/>
          <w:lang w:val="en"/>
        </w:rPr>
      </w:pPr>
    </w:p>
    <w:p w:rsidR="00BC37B7" w:rsidRPr="00134766" w:rsidRDefault="00BC37B7" w:rsidP="00BC37B7">
      <w:pPr>
        <w:pStyle w:val="p"/>
        <w:shd w:val="clear" w:color="auto" w:fill="FFFFFF"/>
        <w:spacing w:before="166" w:beforeAutospacing="0" w:after="166" w:afterAutospacing="0"/>
        <w:rPr>
          <w:color w:val="000000"/>
          <w:lang w:val="en"/>
        </w:rPr>
      </w:pPr>
      <w:r w:rsidRPr="00134766">
        <w:rPr>
          <w:color w:val="000000"/>
          <w:lang w:val="en"/>
        </w:rPr>
        <w:lastRenderedPageBreak/>
        <w:t xml:space="preserve">ME/CFS patients are often forced to rely on family and friends for </w:t>
      </w:r>
      <w:r w:rsidR="00C6787F">
        <w:rPr>
          <w:color w:val="000000"/>
          <w:lang w:val="en"/>
        </w:rPr>
        <w:t>assistance in performing activities of daily living, and care</w:t>
      </w:r>
      <w:r w:rsidRPr="00134766">
        <w:rPr>
          <w:color w:val="000000"/>
          <w:lang w:val="en"/>
        </w:rPr>
        <w:t xml:space="preserve">. Statements from family and friends documenting what they see, hear and do for the ME/CFS claimant on a regular basis add to the record in the event an LTD claim is denied. </w:t>
      </w:r>
    </w:p>
    <w:p w:rsidR="00BC37B7" w:rsidRDefault="00BC37B7" w:rsidP="00BC37B7">
      <w:pPr>
        <w:pStyle w:val="p"/>
        <w:shd w:val="clear" w:color="auto" w:fill="FFFFFF"/>
        <w:spacing w:before="166" w:beforeAutospacing="0" w:after="166" w:afterAutospacing="0"/>
        <w:rPr>
          <w:color w:val="000000"/>
          <w:lang w:val="en"/>
        </w:rPr>
      </w:pPr>
      <w:r w:rsidRPr="00134766">
        <w:rPr>
          <w:color w:val="000000"/>
          <w:lang w:val="en"/>
        </w:rPr>
        <w:t xml:space="preserve">In ERISA LTD cases, the contents of the administrative record often determine whether the case is later won or lost not merely during the administrative appeal stage, but in litigation. Courts in ERISA LTD cases are often limited to determining whether the </w:t>
      </w:r>
      <w:r w:rsidR="00626AB5" w:rsidRPr="00134766">
        <w:rPr>
          <w:color w:val="000000"/>
          <w:lang w:val="en"/>
        </w:rPr>
        <w:t xml:space="preserve">insurance claim </w:t>
      </w:r>
      <w:r w:rsidRPr="00134766">
        <w:rPr>
          <w:color w:val="000000"/>
          <w:lang w:val="en"/>
        </w:rPr>
        <w:t>review</w:t>
      </w:r>
      <w:r w:rsidR="00626AB5" w:rsidRPr="00134766">
        <w:rPr>
          <w:color w:val="000000"/>
          <w:lang w:val="en"/>
        </w:rPr>
        <w:t xml:space="preserve">er abused its discretion in denying the claim. </w:t>
      </w:r>
      <w:r w:rsidR="00C6787F">
        <w:rPr>
          <w:color w:val="000000"/>
          <w:lang w:val="en"/>
        </w:rPr>
        <w:t>In such cases, t</w:t>
      </w:r>
      <w:r w:rsidR="00626AB5" w:rsidRPr="00134766">
        <w:rPr>
          <w:color w:val="000000"/>
          <w:lang w:val="en"/>
        </w:rPr>
        <w:t>he Court may not substitute its opin</w:t>
      </w:r>
      <w:r w:rsidR="00C6787F">
        <w:rPr>
          <w:color w:val="000000"/>
          <w:lang w:val="en"/>
        </w:rPr>
        <w:t xml:space="preserve">ion </w:t>
      </w:r>
      <w:r w:rsidR="00626AB5" w:rsidRPr="00134766">
        <w:rPr>
          <w:color w:val="000000"/>
          <w:lang w:val="en"/>
        </w:rPr>
        <w:t xml:space="preserve">for that of the insurance company unless an abuse of that discretion is found. As a result, if the LTD insurer ignores the substantial evidence of record, cherry picks only unfavorable evidence from the record to deny a claim, or otherwise fails to conduct a full and fair review of the claim, it may be found to have abused its discretion. </w:t>
      </w:r>
      <w:r w:rsidR="00C6787F">
        <w:rPr>
          <w:color w:val="000000"/>
          <w:lang w:val="en"/>
        </w:rPr>
        <w:t xml:space="preserve">As a result, the medical evidence of record in support of disability, and the ME/CFS claimant documentation of complaints and functional limitations which are also supported by statements of family and friends contribute to the substantial evidence of record in support of the claim. </w:t>
      </w:r>
    </w:p>
    <w:p w:rsidR="00C6787F" w:rsidRDefault="00C6787F" w:rsidP="00C6787F">
      <w:pPr>
        <w:pStyle w:val="p"/>
        <w:numPr>
          <w:ilvl w:val="0"/>
          <w:numId w:val="37"/>
        </w:numPr>
        <w:shd w:val="clear" w:color="auto" w:fill="FFFFFF"/>
        <w:spacing w:before="166" w:beforeAutospacing="0" w:after="166" w:afterAutospacing="0"/>
        <w:rPr>
          <w:b/>
          <w:color w:val="000000"/>
          <w:lang w:val="en"/>
        </w:rPr>
      </w:pPr>
      <w:r w:rsidRPr="00C6787F">
        <w:rPr>
          <w:b/>
          <w:color w:val="000000"/>
          <w:lang w:val="en"/>
        </w:rPr>
        <w:t>Provide a “before and after” record of function</w:t>
      </w:r>
    </w:p>
    <w:p w:rsidR="00C6787F" w:rsidRDefault="008E4F22" w:rsidP="00C6787F">
      <w:pPr>
        <w:pStyle w:val="p"/>
        <w:shd w:val="clear" w:color="auto" w:fill="FFFFFF"/>
        <w:spacing w:before="166" w:beforeAutospacing="0" w:after="166" w:afterAutospacing="0"/>
        <w:rPr>
          <w:color w:val="000000"/>
          <w:lang w:val="en"/>
        </w:rPr>
      </w:pPr>
      <w:r w:rsidRPr="008E4F22">
        <w:rPr>
          <w:b/>
          <w:color w:val="000000"/>
          <w:lang w:val="en"/>
        </w:rPr>
        <w:t>Occupational demands</w:t>
      </w:r>
      <w:r>
        <w:rPr>
          <w:color w:val="000000"/>
          <w:lang w:val="en"/>
        </w:rPr>
        <w:t xml:space="preserve">: </w:t>
      </w:r>
      <w:r w:rsidR="00C6787F">
        <w:rPr>
          <w:color w:val="000000"/>
          <w:lang w:val="en"/>
        </w:rPr>
        <w:t>Disability insurers requ</w:t>
      </w:r>
      <w:r>
        <w:rPr>
          <w:color w:val="000000"/>
          <w:lang w:val="en"/>
        </w:rPr>
        <w:t>ire</w:t>
      </w:r>
      <w:r w:rsidR="00C6787F">
        <w:rPr>
          <w:color w:val="000000"/>
          <w:lang w:val="en"/>
        </w:rPr>
        <w:t xml:space="preserve"> </w:t>
      </w:r>
      <w:r>
        <w:rPr>
          <w:color w:val="000000"/>
          <w:lang w:val="en"/>
        </w:rPr>
        <w:t xml:space="preserve">all claimants to describe their work history, especially the occupational demands prior to disability onset. Production of a resume is insufficient to document work demands. ME/CFS claimants are often debilitated by fatigue and suffer impaired cognition so this request is often daunting </w:t>
      </w:r>
      <w:r w:rsidR="00DB3AF2">
        <w:rPr>
          <w:color w:val="000000"/>
          <w:lang w:val="en"/>
        </w:rPr>
        <w:t>for</w:t>
      </w:r>
      <w:r>
        <w:rPr>
          <w:color w:val="000000"/>
          <w:lang w:val="en"/>
        </w:rPr>
        <w:t xml:space="preserve"> them. As a result, ME/CFS claimants should obtain a job description from the employer whenever possible. The claimant can then supplement that job description when responding to the LTD occupational demand questions. ME/CFS claimants whose jobs required superior cognitive skills, should also emphasize that in response to these questions. Along those lines, if travel or attending meetings was required, or where quickly processing complex (or any) information and discussing it with others, or multi-tasking and working under constant deadlines were part of the occupational demands, all of that must be noted and why ME/CFS symptoms prevent the claimant from performing those demands. </w:t>
      </w:r>
    </w:p>
    <w:p w:rsidR="008E4F22" w:rsidRDefault="008E4F22" w:rsidP="00C6787F">
      <w:pPr>
        <w:pStyle w:val="p"/>
        <w:shd w:val="clear" w:color="auto" w:fill="FFFFFF"/>
        <w:spacing w:before="166" w:beforeAutospacing="0" w:after="166" w:afterAutospacing="0"/>
        <w:rPr>
          <w:color w:val="000000"/>
          <w:lang w:val="en"/>
        </w:rPr>
      </w:pPr>
      <w:r>
        <w:rPr>
          <w:color w:val="000000"/>
          <w:lang w:val="en"/>
        </w:rPr>
        <w:t xml:space="preserve">Any </w:t>
      </w:r>
      <w:r w:rsidR="00DB3AF2">
        <w:rPr>
          <w:color w:val="000000"/>
          <w:lang w:val="en"/>
        </w:rPr>
        <w:t>employer</w:t>
      </w:r>
      <w:r>
        <w:rPr>
          <w:color w:val="000000"/>
          <w:lang w:val="en"/>
        </w:rPr>
        <w:t xml:space="preserve"> evaluations</w:t>
      </w:r>
      <w:r w:rsidR="00DB3AF2">
        <w:rPr>
          <w:color w:val="000000"/>
          <w:lang w:val="en"/>
        </w:rPr>
        <w:t xml:space="preserve"> of the claimant/employee</w:t>
      </w:r>
      <w:r>
        <w:rPr>
          <w:color w:val="000000"/>
          <w:lang w:val="en"/>
        </w:rPr>
        <w:t xml:space="preserve"> </w:t>
      </w:r>
      <w:r w:rsidR="00DB3AF2">
        <w:rPr>
          <w:color w:val="000000"/>
          <w:lang w:val="en"/>
        </w:rPr>
        <w:t>conducted</w:t>
      </w:r>
      <w:r>
        <w:rPr>
          <w:color w:val="000000"/>
          <w:lang w:val="en"/>
        </w:rPr>
        <w:t xml:space="preserve"> in the years prior to disability</w:t>
      </w:r>
      <w:r w:rsidR="003D2238">
        <w:rPr>
          <w:color w:val="000000"/>
          <w:lang w:val="en"/>
        </w:rPr>
        <w:t xml:space="preserve"> and following disability onset are important to include in the administrative record</w:t>
      </w:r>
      <w:r>
        <w:rPr>
          <w:color w:val="000000"/>
          <w:lang w:val="en"/>
        </w:rPr>
        <w:t xml:space="preserve">. </w:t>
      </w:r>
      <w:r w:rsidR="003D2238">
        <w:rPr>
          <w:color w:val="000000"/>
          <w:lang w:val="en"/>
        </w:rPr>
        <w:t xml:space="preserve">Any bonuses given to the ME/CFS claimant pre-disability which were performance related should also be noted. </w:t>
      </w:r>
      <w:r>
        <w:rPr>
          <w:color w:val="000000"/>
          <w:lang w:val="en"/>
        </w:rPr>
        <w:t xml:space="preserve">Often ME/CFS patients go from being top performers at work to crashing over time. </w:t>
      </w:r>
      <w:r w:rsidR="003D2238">
        <w:rPr>
          <w:color w:val="000000"/>
          <w:lang w:val="en"/>
        </w:rPr>
        <w:t>Documentation of that work performance decline and employer comments about it provide critical independent documentation to add to the administrative record.</w:t>
      </w:r>
    </w:p>
    <w:p w:rsidR="003D2238" w:rsidRPr="00C6787F" w:rsidRDefault="003D2238" w:rsidP="00C6787F">
      <w:pPr>
        <w:pStyle w:val="p"/>
        <w:shd w:val="clear" w:color="auto" w:fill="FFFFFF"/>
        <w:spacing w:before="166" w:beforeAutospacing="0" w:after="166" w:afterAutospacing="0"/>
        <w:rPr>
          <w:color w:val="000000"/>
          <w:lang w:val="en"/>
        </w:rPr>
      </w:pPr>
      <w:r>
        <w:rPr>
          <w:color w:val="000000"/>
          <w:lang w:val="en"/>
        </w:rPr>
        <w:t>If an ME/CFS claimant was physically active and engaged prior to disability, but has abandoned all or many of those activities, that should also be documented.</w:t>
      </w:r>
    </w:p>
    <w:p w:rsidR="00EA352A" w:rsidRPr="00134766" w:rsidRDefault="00EA352A" w:rsidP="00A57221">
      <w:pPr>
        <w:pStyle w:val="p"/>
        <w:shd w:val="clear" w:color="auto" w:fill="FFFFFF"/>
        <w:spacing w:before="166" w:beforeAutospacing="0" w:after="166" w:afterAutospacing="0"/>
        <w:rPr>
          <w:b/>
          <w:color w:val="000000"/>
          <w:lang w:val="en"/>
        </w:rPr>
      </w:pPr>
      <w:r w:rsidRPr="00134766">
        <w:rPr>
          <w:b/>
          <w:color w:val="000000"/>
          <w:lang w:val="en"/>
        </w:rPr>
        <w:t>Conclusion</w:t>
      </w:r>
    </w:p>
    <w:p w:rsidR="00500791" w:rsidRDefault="00EA352A" w:rsidP="00A57221">
      <w:pPr>
        <w:pStyle w:val="p"/>
        <w:shd w:val="clear" w:color="auto" w:fill="FFFFFF"/>
        <w:spacing w:before="166" w:beforeAutospacing="0" w:after="166" w:afterAutospacing="0"/>
        <w:rPr>
          <w:color w:val="000000"/>
          <w:lang w:val="en"/>
        </w:rPr>
      </w:pPr>
      <w:r w:rsidRPr="00134766">
        <w:rPr>
          <w:color w:val="000000"/>
          <w:lang w:val="en"/>
        </w:rPr>
        <w:t xml:space="preserve">The </w:t>
      </w:r>
      <w:r w:rsidR="00626AB5" w:rsidRPr="00134766">
        <w:rPr>
          <w:color w:val="000000"/>
          <w:lang w:val="en"/>
        </w:rPr>
        <w:t xml:space="preserve">ME/CFS claimant must document the total adverse effect the constellation of these symptoms </w:t>
      </w:r>
      <w:r w:rsidR="003D2238">
        <w:rPr>
          <w:color w:val="000000"/>
          <w:lang w:val="en"/>
        </w:rPr>
        <w:t xml:space="preserve">has </w:t>
      </w:r>
      <w:r w:rsidR="00626AB5" w:rsidRPr="00134766">
        <w:rPr>
          <w:color w:val="000000"/>
          <w:lang w:val="en"/>
        </w:rPr>
        <w:t xml:space="preserve">on </w:t>
      </w:r>
      <w:r w:rsidRPr="00134766">
        <w:rPr>
          <w:color w:val="000000"/>
          <w:lang w:val="en"/>
        </w:rPr>
        <w:t>his/her</w:t>
      </w:r>
      <w:r w:rsidR="00626AB5" w:rsidRPr="00134766">
        <w:rPr>
          <w:color w:val="000000"/>
          <w:lang w:val="en"/>
        </w:rPr>
        <w:t xml:space="preserve"> life. The claim must</w:t>
      </w:r>
      <w:r w:rsidR="003D2238">
        <w:rPr>
          <w:color w:val="000000"/>
          <w:lang w:val="en"/>
        </w:rPr>
        <w:t xml:space="preserve"> provide </w:t>
      </w:r>
      <w:r w:rsidRPr="00134766">
        <w:rPr>
          <w:color w:val="000000"/>
          <w:lang w:val="en"/>
        </w:rPr>
        <w:t>medical support</w:t>
      </w:r>
      <w:r w:rsidR="003D2238">
        <w:rPr>
          <w:color w:val="000000"/>
          <w:lang w:val="en"/>
        </w:rPr>
        <w:t xml:space="preserve"> and </w:t>
      </w:r>
      <w:r w:rsidRPr="00134766">
        <w:rPr>
          <w:color w:val="000000"/>
          <w:lang w:val="en"/>
        </w:rPr>
        <w:t>documentation</w:t>
      </w:r>
      <w:r w:rsidR="00626AB5" w:rsidRPr="00134766">
        <w:rPr>
          <w:color w:val="000000"/>
          <w:lang w:val="en"/>
        </w:rPr>
        <w:t xml:space="preserve"> </w:t>
      </w:r>
      <w:r w:rsidR="003D2238">
        <w:rPr>
          <w:color w:val="000000"/>
          <w:lang w:val="en"/>
        </w:rPr>
        <w:t xml:space="preserve">of symptoms and limitations (physical and cognitive) </w:t>
      </w:r>
      <w:r w:rsidR="00626AB5" w:rsidRPr="00134766">
        <w:rPr>
          <w:color w:val="000000"/>
          <w:lang w:val="en"/>
        </w:rPr>
        <w:t>by</w:t>
      </w:r>
      <w:r w:rsidR="003D2238">
        <w:rPr>
          <w:color w:val="000000"/>
          <w:lang w:val="en"/>
        </w:rPr>
        <w:t xml:space="preserve"> </w:t>
      </w:r>
      <w:r w:rsidR="00626AB5" w:rsidRPr="00134766">
        <w:rPr>
          <w:color w:val="000000"/>
          <w:lang w:val="en"/>
        </w:rPr>
        <w:t>experienced ME/CFS medical provider</w:t>
      </w:r>
      <w:r w:rsidR="003D2238">
        <w:rPr>
          <w:color w:val="000000"/>
          <w:lang w:val="en"/>
        </w:rPr>
        <w:t>s</w:t>
      </w:r>
      <w:r w:rsidR="00626AB5" w:rsidRPr="00134766">
        <w:rPr>
          <w:color w:val="000000"/>
          <w:lang w:val="en"/>
        </w:rPr>
        <w:t xml:space="preserve">. The ME/CFS claimant should contemporaneously journal daily complaints and </w:t>
      </w:r>
      <w:r w:rsidR="003D2238">
        <w:rPr>
          <w:color w:val="000000"/>
          <w:lang w:val="en"/>
        </w:rPr>
        <w:t xml:space="preserve">functional </w:t>
      </w:r>
      <w:r w:rsidR="00626AB5" w:rsidRPr="00134766">
        <w:rPr>
          <w:color w:val="000000"/>
          <w:lang w:val="en"/>
        </w:rPr>
        <w:t xml:space="preserve">limitations </w:t>
      </w:r>
      <w:r w:rsidRPr="00134766">
        <w:rPr>
          <w:color w:val="000000"/>
          <w:lang w:val="en"/>
        </w:rPr>
        <w:t xml:space="preserve">and provide that journal </w:t>
      </w:r>
      <w:r w:rsidR="00626AB5" w:rsidRPr="00134766">
        <w:rPr>
          <w:color w:val="000000"/>
          <w:lang w:val="en"/>
        </w:rPr>
        <w:t>to the ME/CFS provider</w:t>
      </w:r>
      <w:r w:rsidR="003D2238">
        <w:rPr>
          <w:color w:val="000000"/>
          <w:lang w:val="en"/>
        </w:rPr>
        <w:t>s</w:t>
      </w:r>
      <w:r w:rsidR="00626AB5" w:rsidRPr="00134766">
        <w:rPr>
          <w:color w:val="000000"/>
          <w:lang w:val="en"/>
        </w:rPr>
        <w:t xml:space="preserve"> during each visit. </w:t>
      </w:r>
      <w:r w:rsidRPr="00134766">
        <w:rPr>
          <w:color w:val="000000"/>
          <w:lang w:val="en"/>
        </w:rPr>
        <w:t xml:space="preserve">Objective </w:t>
      </w:r>
      <w:r w:rsidRPr="00134766">
        <w:rPr>
          <w:color w:val="000000"/>
          <w:lang w:val="en"/>
        </w:rPr>
        <w:lastRenderedPageBreak/>
        <w:t xml:space="preserve">documentation of complaints and functional limitations is crucial in ME/CFS disability claims. </w:t>
      </w:r>
      <w:r w:rsidR="003D2238">
        <w:rPr>
          <w:color w:val="000000"/>
          <w:lang w:val="en"/>
        </w:rPr>
        <w:t>S</w:t>
      </w:r>
      <w:r w:rsidRPr="00134766">
        <w:rPr>
          <w:color w:val="000000"/>
          <w:lang w:val="en"/>
        </w:rPr>
        <w:t>tatements from family and friends who are familiar with the claimant’s complaints and limitations provide additional evidence in support of disability.</w:t>
      </w:r>
      <w:r w:rsidR="003D2238">
        <w:rPr>
          <w:color w:val="000000"/>
          <w:lang w:val="en"/>
        </w:rPr>
        <w:t xml:space="preserve"> And documentation from the employer about the occupational demands, and the ME/CFS claimant’s decline in the form of performance evaluations, etc., are important evidence to include within the administrative record.</w:t>
      </w:r>
    </w:p>
    <w:p w:rsidR="003D2238" w:rsidRDefault="003D2238" w:rsidP="00A57221">
      <w:pPr>
        <w:pStyle w:val="p"/>
        <w:shd w:val="clear" w:color="auto" w:fill="FFFFFF"/>
        <w:spacing w:before="166" w:beforeAutospacing="0" w:after="166" w:afterAutospacing="0"/>
        <w:rPr>
          <w:color w:val="000000"/>
          <w:lang w:val="en"/>
        </w:rPr>
      </w:pPr>
    </w:p>
    <w:p w:rsidR="003D2238" w:rsidRPr="00134766" w:rsidRDefault="003D2238" w:rsidP="00A57221">
      <w:pPr>
        <w:pStyle w:val="p"/>
        <w:shd w:val="clear" w:color="auto" w:fill="FFFFFF"/>
        <w:spacing w:before="166" w:beforeAutospacing="0" w:after="166" w:afterAutospacing="0"/>
        <w:rPr>
          <w:color w:val="000000"/>
          <w:lang w:val="en"/>
        </w:rPr>
      </w:pPr>
      <w:r>
        <w:rPr>
          <w:color w:val="000000"/>
          <w:lang w:val="en"/>
        </w:rPr>
        <w:t>*Barbara B. Come</w:t>
      </w:r>
      <w:r w:rsidR="00142FA2">
        <w:rPr>
          <w:color w:val="000000"/>
          <w:lang w:val="en"/>
        </w:rPr>
        <w:t>r</w:t>
      </w:r>
      <w:r>
        <w:rPr>
          <w:color w:val="000000"/>
          <w:lang w:val="en"/>
        </w:rPr>
        <w:t xml:space="preserve">ford, Esq. has been practicing disability insurance law, and Social Security Disability law since 1985. She has lectured extensively </w:t>
      </w:r>
      <w:r w:rsidR="00142FA2">
        <w:rPr>
          <w:color w:val="000000"/>
          <w:lang w:val="en"/>
        </w:rPr>
        <w:t>and presented papers on these topics to lawyers, judges and disability organizations around the nation. Recently, she and her senior associate, Sara Kaplan-</w:t>
      </w:r>
      <w:proofErr w:type="spellStart"/>
      <w:r w:rsidR="00142FA2">
        <w:rPr>
          <w:color w:val="000000"/>
          <w:lang w:val="en"/>
        </w:rPr>
        <w:t>Khodoro</w:t>
      </w:r>
      <w:r w:rsidR="0068105A">
        <w:rPr>
          <w:color w:val="000000"/>
          <w:lang w:val="en"/>
        </w:rPr>
        <w:t>v</w:t>
      </w:r>
      <w:r w:rsidR="00142FA2">
        <w:rPr>
          <w:color w:val="000000"/>
          <w:lang w:val="en"/>
        </w:rPr>
        <w:t>sky</w:t>
      </w:r>
      <w:proofErr w:type="spellEnd"/>
      <w:r w:rsidR="00142FA2">
        <w:rPr>
          <w:color w:val="000000"/>
          <w:lang w:val="en"/>
        </w:rPr>
        <w:t xml:space="preserve">, successfully represented a Washington Post reporter disabled with ME/CFS in an ERISA LTD lawsuit against Prudential Insurance Company. See </w:t>
      </w:r>
      <w:proofErr w:type="spellStart"/>
      <w:r w:rsidR="00142FA2" w:rsidRPr="00142FA2">
        <w:rPr>
          <w:i/>
          <w:color w:val="000000"/>
          <w:lang w:val="en"/>
        </w:rPr>
        <w:t>Vastag</w:t>
      </w:r>
      <w:proofErr w:type="spellEnd"/>
      <w:r w:rsidR="00142FA2" w:rsidRPr="00142FA2">
        <w:rPr>
          <w:i/>
          <w:color w:val="000000"/>
          <w:lang w:val="en"/>
        </w:rPr>
        <w:t xml:space="preserve"> v. Prudential Ins. Co.</w:t>
      </w:r>
      <w:r w:rsidR="00142FA2">
        <w:rPr>
          <w:color w:val="000000"/>
          <w:lang w:val="en"/>
        </w:rPr>
        <w:t xml:space="preserve"> of Am., 2018 WL 2455921 (D. N.J. May 31, 2018) </w:t>
      </w:r>
    </w:p>
    <w:p w:rsidR="00EA352A" w:rsidRPr="00134766" w:rsidRDefault="00EA352A" w:rsidP="00A57221">
      <w:pPr>
        <w:pStyle w:val="p"/>
        <w:shd w:val="clear" w:color="auto" w:fill="FFFFFF"/>
        <w:spacing w:before="166" w:beforeAutospacing="0" w:after="166" w:afterAutospacing="0"/>
        <w:rPr>
          <w:color w:val="000000"/>
          <w:lang w:val="en"/>
        </w:rPr>
      </w:pPr>
    </w:p>
    <w:p w:rsidR="00EA352A" w:rsidRPr="00134766" w:rsidRDefault="00EA352A" w:rsidP="00A57221">
      <w:pPr>
        <w:pStyle w:val="p"/>
        <w:shd w:val="clear" w:color="auto" w:fill="FFFFFF"/>
        <w:spacing w:before="166" w:beforeAutospacing="0" w:after="166" w:afterAutospacing="0"/>
        <w:rPr>
          <w:color w:val="000000"/>
          <w:lang w:val="en"/>
        </w:rPr>
      </w:pPr>
    </w:p>
    <w:p w:rsidR="00A57221" w:rsidRPr="00134766" w:rsidRDefault="00D72036" w:rsidP="003D2238">
      <w:pPr>
        <w:shd w:val="clear" w:color="auto" w:fill="FFFFFF"/>
        <w:jc w:val="center"/>
        <w:rPr>
          <w:rFonts w:ascii="Arial" w:hAnsi="Arial" w:cs="Arial"/>
          <w:b/>
          <w:vanish/>
          <w:color w:val="000000"/>
          <w:sz w:val="24"/>
          <w:szCs w:val="24"/>
          <w:lang w:val="en"/>
        </w:rPr>
      </w:pPr>
      <w:hyperlink r:id="rId14" w:tooltip="Go to other sections in this page" w:history="1">
        <w:r w:rsidR="00A57221" w:rsidRPr="00134766">
          <w:rPr>
            <w:rStyle w:val="Hyperlink"/>
            <w:rFonts w:ascii="Arial" w:hAnsi="Arial" w:cs="Arial"/>
            <w:b/>
            <w:vanish/>
            <w:color w:val="642A8F"/>
            <w:sz w:val="24"/>
            <w:szCs w:val="24"/>
            <w:lang w:val="en"/>
          </w:rPr>
          <w:t>Go to:</w:t>
        </w:r>
      </w:hyperlink>
    </w:p>
    <w:p w:rsidR="00A57221" w:rsidRPr="00134766" w:rsidRDefault="00A57221" w:rsidP="00A57221">
      <w:pPr>
        <w:pStyle w:val="Heading2"/>
        <w:shd w:val="clear" w:color="auto" w:fill="FFFFFF"/>
        <w:spacing w:before="270" w:beforeAutospacing="0" w:after="135" w:afterAutospacing="0" w:line="267" w:lineRule="atLeast"/>
        <w:rPr>
          <w:rFonts w:ascii="Arial" w:hAnsi="Arial" w:cs="Arial"/>
          <w:bCs w:val="0"/>
          <w:color w:val="985735"/>
          <w:sz w:val="24"/>
          <w:szCs w:val="24"/>
          <w:lang w:val="en"/>
        </w:rPr>
      </w:pPr>
    </w:p>
    <w:p w:rsidR="00A57221" w:rsidRPr="00134766" w:rsidRDefault="00A57221" w:rsidP="00A57221">
      <w:pPr>
        <w:pStyle w:val="p"/>
        <w:shd w:val="clear" w:color="auto" w:fill="FFFFFF"/>
        <w:spacing w:before="166" w:beforeAutospacing="0" w:after="166" w:afterAutospacing="0"/>
        <w:rPr>
          <w:vanish/>
          <w:color w:val="000000"/>
          <w:lang w:val="en"/>
        </w:rPr>
      </w:pPr>
      <w:r w:rsidRPr="00134766">
        <w:rPr>
          <w:vanish/>
          <w:color w:val="000000"/>
          <w:lang w:val="en"/>
        </w:rPr>
        <w:t>The spontaneous brain electrical activities in CFS patients were significantly reduced. The abnormal changes in the cerebral functions were localized at the right frontal and left occipital regions in CFS patients.</w:t>
      </w:r>
    </w:p>
    <w:p w:rsidR="00A57221" w:rsidRPr="00134766" w:rsidRDefault="00A57221" w:rsidP="00A57221">
      <w:pPr>
        <w:shd w:val="clear" w:color="auto" w:fill="FFFFFF"/>
        <w:rPr>
          <w:vanish/>
          <w:color w:val="000000"/>
          <w:sz w:val="24"/>
          <w:szCs w:val="24"/>
          <w:lang w:val="en"/>
        </w:rPr>
      </w:pPr>
      <w:r w:rsidRPr="00134766">
        <w:rPr>
          <w:rStyle w:val="Strong"/>
          <w:vanish/>
          <w:color w:val="000000"/>
          <w:sz w:val="24"/>
          <w:szCs w:val="24"/>
          <w:lang w:val="en"/>
        </w:rPr>
        <w:t>Keywords: </w:t>
      </w:r>
      <w:r w:rsidRPr="00134766">
        <w:rPr>
          <w:rStyle w:val="kwd-text"/>
          <w:vanish/>
          <w:color w:val="000000"/>
          <w:sz w:val="24"/>
          <w:szCs w:val="24"/>
          <w:lang w:val="en"/>
        </w:rPr>
        <w:t>electrical activities, brain electrical activity mapping, nonlinear dynamical analysis</w:t>
      </w:r>
    </w:p>
    <w:p w:rsidR="00A57221" w:rsidRPr="00134766" w:rsidRDefault="00D72036" w:rsidP="00A57221">
      <w:pPr>
        <w:shd w:val="clear" w:color="auto" w:fill="FFFFFF"/>
        <w:jc w:val="right"/>
        <w:rPr>
          <w:rFonts w:ascii="Arial" w:hAnsi="Arial" w:cs="Arial"/>
          <w:color w:val="000000"/>
          <w:sz w:val="24"/>
          <w:szCs w:val="24"/>
        </w:rPr>
      </w:pPr>
      <w:hyperlink r:id="rId15" w:tooltip="Go to other sections in this page" w:history="1">
        <w:r w:rsidR="00A57221" w:rsidRPr="00134766">
          <w:rPr>
            <w:rStyle w:val="Hyperlink"/>
            <w:rFonts w:ascii="Arial" w:hAnsi="Arial" w:cs="Arial"/>
            <w:color w:val="642A8F"/>
            <w:sz w:val="24"/>
            <w:szCs w:val="24"/>
          </w:rPr>
          <w:t>Go to:</w:t>
        </w:r>
      </w:hyperlink>
    </w:p>
    <w:sectPr w:rsidR="00A57221" w:rsidRPr="00134766" w:rsidSect="00693154">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036" w:rsidRDefault="00D72036" w:rsidP="00657CC9">
      <w:pPr>
        <w:spacing w:after="0" w:line="240" w:lineRule="auto"/>
      </w:pPr>
      <w:r>
        <w:separator/>
      </w:r>
    </w:p>
  </w:endnote>
  <w:endnote w:type="continuationSeparator" w:id="0">
    <w:p w:rsidR="00D72036" w:rsidRDefault="00D72036" w:rsidP="00657CC9">
      <w:pPr>
        <w:spacing w:after="0" w:line="240" w:lineRule="auto"/>
      </w:pPr>
      <w:r>
        <w:continuationSeparator/>
      </w:r>
    </w:p>
  </w:endnote>
  <w:endnote w:id="1">
    <w:p w:rsidR="00EE04D2" w:rsidRPr="001A61FC" w:rsidRDefault="00EE04D2" w:rsidP="00EE04D2">
      <w:pPr>
        <w:pStyle w:val="EndnoteText"/>
        <w:rPr>
          <w:rFonts w:ascii="Times New Roman" w:hAnsi="Times New Roman" w:cs="Times New Roman"/>
          <w:sz w:val="24"/>
          <w:szCs w:val="24"/>
        </w:rPr>
      </w:pPr>
      <w:r w:rsidRPr="001A61FC">
        <w:rPr>
          <w:rStyle w:val="EndnoteReference"/>
          <w:rFonts w:ascii="Times New Roman" w:hAnsi="Times New Roman" w:cs="Times New Roman"/>
          <w:sz w:val="24"/>
          <w:szCs w:val="24"/>
        </w:rPr>
        <w:endnoteRef/>
      </w:r>
      <w:r w:rsidRPr="001A61FC">
        <w:rPr>
          <w:rFonts w:ascii="Times New Roman" w:hAnsi="Times New Roman" w:cs="Times New Roman"/>
          <w:sz w:val="24"/>
          <w:szCs w:val="24"/>
        </w:rPr>
        <w:t xml:space="preserve">  Id</w:t>
      </w:r>
      <w:r w:rsidRPr="001A61FC">
        <w:rPr>
          <w:rFonts w:ascii="Times New Roman" w:hAnsi="Times New Roman" w:cs="Times New Roman"/>
          <w:b/>
          <w:i/>
          <w:sz w:val="24"/>
          <w:szCs w:val="24"/>
        </w:rPr>
        <w:t>. In Pilot Life Insurance Co. v. Dedeaux</w:t>
      </w:r>
      <w:r w:rsidRPr="001A61FC">
        <w:rPr>
          <w:rFonts w:ascii="Times New Roman" w:hAnsi="Times New Roman" w:cs="Times New Roman"/>
          <w:sz w:val="24"/>
          <w:szCs w:val="24"/>
        </w:rPr>
        <w:t xml:space="preserve">, 481 U.S. 41 (1987) the Court held that Mississippi’s common law bad faith remedy ‘related to’ an ERISA plan, and therefore fell within the scope of preemption. The Court also found that the bad faith law was not saved from preemption as a law that regulates insurance because, in Mississippi, the bad faith remedy is available for any aggravated breach of contract, not just the breach of insurance contract. The Court applied a three factor test developed under cases interpreting the phrase ‘business of insurance’ in the McCarran-Ferguson Act to define which state laws regulate insurance and explained that a state law ‘regulates the business of insurance’ when the law affects the spreading of a policyholder risk, affects an integral part of the insurer/insured policy relationship and specifically targets the insurance industry.  The Court concluded that while the law affected the insurance industry, it did not specifically target it or affect an integral part of it, and did not spread policyholder risk.  Therefore no bad faith damages were permitted. However, in 1999, in Unum Life Insurance Co. v. Ward, 526 US 358 (1999) in an ERISA LTD case in which Unum had argued that the plaintiff had waited too long under the relevant policy provisions to file a timely claim for disability benefits, Justice Ginsburg, writing the unanimous opinion for the Court, noted that the “parties agreed that the notice-prejudice rule fell under the ERISA preemption clause, § 514(a) as a state law that ‘relates to’ an employee benefit plan. Their dispute hinges on the question: Does the rule ‘regulate insurance’ and thus escape preemption?” She then worked through the McCarran-Ferguson criteria agreed with the Ninth Circuit Court of Appeals opinion in the matter that the notice prejudice rule  “appears to satisfy the common sense view as a regulation that hones in on the insurance industry and does “not just have an impact on {that} industry. In doing so, the Court rejected UNUM’s contention that “bracketing California’s notice prejudice rule for insurance contracts with Mississippi’s broad gauged ‘bad faith’ claim for relief.” But a later U.S. Supreme Court case discarded the McCarran-Ferguson factors in the context of an ERISA HMO case. In Kentucky Association of Health Plans, Inc. et al v. Janie A. Miller, Commissioner, Kentucky Department of Insurance, 123 S. Ct. 1471, 155 L. Ed. 2d 468, 2003 U.S&gt; LEXIS 2710 (2003)  Justice Scalia, writing for a unanimous Court, ruled that for a state law to be deemed a law which regulates insurance under 29 U.S.C.S. § 1144 (b)(2)(A) (and avoid ERISA preemption) it must satisfy two requirements: 1) the state law must be specifically directed toward entities engaged in insurance and 2) the state law must substantially affect the risk pooling arrangement between the insurer and the insured. Justice Scalia noted, “Our holding in UNUM…that a state law may fail the first McCarran-Ferguson factor yet still be saved from pre-emption under § 1144 (b)(2)(A) raises more questions that they answer and provides wide opportunities for divergent outcomes…Today we make a clean break from McCarran-Ferguson factors…” </w:t>
      </w:r>
    </w:p>
    <w:p w:rsidR="00EE04D2" w:rsidRPr="001A61FC" w:rsidRDefault="00EE04D2" w:rsidP="00EE04D2">
      <w:pPr>
        <w:pStyle w:val="EndnoteText"/>
        <w:rPr>
          <w:rFonts w:ascii="Times New Roman" w:hAnsi="Times New Roman" w:cs="Times New Roman"/>
          <w:sz w:val="24"/>
          <w:szCs w:val="24"/>
        </w:rPr>
      </w:pPr>
    </w:p>
  </w:endnote>
  <w:endnote w:id="2">
    <w:p w:rsidR="00F23015" w:rsidRPr="001A61FC" w:rsidRDefault="00F23015" w:rsidP="00F23015">
      <w:pPr>
        <w:pStyle w:val="NormalWeb"/>
      </w:pPr>
      <w:r w:rsidRPr="001A61FC">
        <w:rPr>
          <w:rStyle w:val="EndnoteReference"/>
        </w:rPr>
        <w:endnoteRef/>
      </w:r>
      <w:r w:rsidRPr="001A61FC">
        <w:t xml:space="preserve"> Advisory Opinion Letter of Robert J. Doyle, Director of Regulations</w:t>
      </w:r>
      <w:r w:rsidRPr="001A61FC">
        <w:br/>
        <w:t xml:space="preserve">and Interpretations, U.S. DOL, PWBA Office of Regulations and Interpretations, dated July 11, 1994 re: 94-25A ERISA Section 3(1), 2510.3-1(j) </w:t>
      </w:r>
    </w:p>
    <w:p w:rsidR="00F23015" w:rsidRPr="001A61FC" w:rsidRDefault="00F23015" w:rsidP="00F23015">
      <w:pPr>
        <w:pStyle w:val="NormalWeb"/>
      </w:pPr>
      <w:r w:rsidRPr="001A61FC">
        <w:t xml:space="preserve">Section 3(4) of Title I of ERISA provides: </w:t>
      </w:r>
    </w:p>
    <w:p w:rsidR="00F23015" w:rsidRPr="001A61FC" w:rsidRDefault="00F23015" w:rsidP="00F23015">
      <w:pPr>
        <w:spacing w:before="100" w:beforeAutospacing="1" w:after="100" w:afterAutospacing="1" w:line="240" w:lineRule="auto"/>
        <w:rPr>
          <w:rFonts w:ascii="Times New Roman" w:eastAsia="Times New Roman" w:hAnsi="Times New Roman" w:cs="Times New Roman"/>
          <w:sz w:val="24"/>
          <w:szCs w:val="24"/>
        </w:rPr>
      </w:pPr>
      <w:r w:rsidRPr="001A61FC">
        <w:rPr>
          <w:rFonts w:ascii="Times New Roman" w:eastAsia="Times New Roman" w:hAnsi="Times New Roman" w:cs="Times New Roman"/>
          <w:sz w:val="24"/>
          <w:szCs w:val="24"/>
        </w:rPr>
        <w:t xml:space="preserve">(4) The term "employee organization" means any labor union or any organization of any kind, or any agency or employee representation committee, association, group, or plan, in which employees participate and which exists for the purpose, in whole or in part, of dealing with employers concerning an employee benefit plan, or other matters incidental to employment relationships; or any employees' beneficiary association organized for the purpose in whole or in part, of establishing such a plan. </w:t>
      </w:r>
    </w:p>
    <w:p w:rsidR="00F23015" w:rsidRPr="001A61FC" w:rsidRDefault="00F23015" w:rsidP="00F23015">
      <w:pPr>
        <w:spacing w:before="100" w:beforeAutospacing="1" w:after="100" w:afterAutospacing="1" w:line="240" w:lineRule="auto"/>
        <w:rPr>
          <w:rFonts w:ascii="Times New Roman" w:eastAsia="Times New Roman" w:hAnsi="Times New Roman" w:cs="Times New Roman"/>
          <w:sz w:val="24"/>
          <w:szCs w:val="24"/>
        </w:rPr>
      </w:pPr>
      <w:r w:rsidRPr="001A61FC">
        <w:rPr>
          <w:rFonts w:ascii="Times New Roman" w:eastAsia="Times New Roman" w:hAnsi="Times New Roman" w:cs="Times New Roman"/>
          <w:sz w:val="24"/>
          <w:szCs w:val="24"/>
        </w:rPr>
        <w:t>Section 3(1) of Title I of ERISA defines the term "employee welfare benefit plan" to include:</w:t>
      </w:r>
    </w:p>
    <w:p w:rsidR="00F23015" w:rsidRPr="001A61FC" w:rsidRDefault="00F23015" w:rsidP="00F23015">
      <w:pPr>
        <w:spacing w:before="100" w:beforeAutospacing="1" w:after="100" w:afterAutospacing="1" w:line="240" w:lineRule="auto"/>
        <w:rPr>
          <w:rFonts w:ascii="Times New Roman" w:eastAsia="Times New Roman" w:hAnsi="Times New Roman" w:cs="Times New Roman"/>
          <w:sz w:val="24"/>
          <w:szCs w:val="24"/>
        </w:rPr>
      </w:pPr>
      <w:r w:rsidRPr="001A61FC">
        <w:rPr>
          <w:rFonts w:ascii="Times New Roman" w:eastAsia="Times New Roman" w:hAnsi="Times New Roman" w:cs="Times New Roman"/>
          <w:sz w:val="24"/>
          <w:szCs w:val="24"/>
        </w:rPr>
        <w:t xml:space="preserve">[A]ny plan, fund, or program which was heretofore and hereafter established or maintained by an employer or by an employee organization, or by both, to the extent that such plan, fund, or program was established or is maintained for the purpose of providing for its participants or their beneficiaries, through the pur-chase of insurance or otherwise, (A) medical, surgical, or hospital care or benefits, or benefits in the event of sickness, accident, disability, death or unemployment, or vacation benefits, apprenticeship or other training programs, or day care centers, scholarship funds, or prepaid legal services, or (B) any benefit described in section 302(c) of the Labor Management Relations Act, 1947 [29 USCS section 186(c)] (other than pensions on retirement or death, and insurance to provide such pensions). </w:t>
      </w:r>
    </w:p>
    <w:p w:rsidR="00F23015" w:rsidRPr="001A61FC" w:rsidRDefault="00F23015" w:rsidP="00F23015">
      <w:pPr>
        <w:spacing w:before="100" w:beforeAutospacing="1" w:after="100" w:afterAutospacing="1" w:line="240" w:lineRule="auto"/>
        <w:rPr>
          <w:rFonts w:ascii="Times New Roman" w:eastAsia="Times New Roman" w:hAnsi="Times New Roman" w:cs="Times New Roman"/>
          <w:sz w:val="24"/>
          <w:szCs w:val="24"/>
        </w:rPr>
      </w:pPr>
      <w:r w:rsidRPr="001A61FC">
        <w:rPr>
          <w:rFonts w:ascii="Times New Roman" w:eastAsia="Times New Roman" w:hAnsi="Times New Roman" w:cs="Times New Roman"/>
          <w:sz w:val="24"/>
          <w:szCs w:val="24"/>
        </w:rPr>
        <w:t xml:space="preserve">29 C.F.R. section 2510.3-1(j). Regulation section 2510.3-1(j) describes certain group or group-type insurance programs in which the involvement of the employer or employee organization in the operations of the program is so minimal that such involvement does not constitute establishment or maintenance of the arrangement for purposes of ERISA section 3(1). </w:t>
      </w:r>
    </w:p>
    <w:p w:rsidR="00F23015" w:rsidRPr="001A61FC" w:rsidRDefault="00F23015" w:rsidP="00F23015">
      <w:pPr>
        <w:spacing w:beforeAutospacing="1" w:after="100" w:afterAutospacing="1" w:line="240" w:lineRule="auto"/>
        <w:rPr>
          <w:rFonts w:ascii="Times New Roman" w:eastAsia="Times New Roman" w:hAnsi="Times New Roman" w:cs="Times New Roman"/>
          <w:sz w:val="24"/>
          <w:szCs w:val="24"/>
        </w:rPr>
      </w:pPr>
      <w:r w:rsidRPr="001A61FC">
        <w:rPr>
          <w:rFonts w:ascii="Times New Roman" w:eastAsia="Times New Roman" w:hAnsi="Times New Roman" w:cs="Times New Roman"/>
          <w:sz w:val="24"/>
          <w:szCs w:val="24"/>
        </w:rPr>
        <w:t>Section 2510.3-1(j) provides:</w:t>
      </w:r>
    </w:p>
    <w:p w:rsidR="00F23015" w:rsidRPr="001A61FC" w:rsidRDefault="00F23015" w:rsidP="00F23015">
      <w:pPr>
        <w:spacing w:before="100" w:beforeAutospacing="1" w:after="100" w:afterAutospacing="1" w:line="240" w:lineRule="auto"/>
        <w:rPr>
          <w:rFonts w:ascii="Times New Roman" w:eastAsia="Times New Roman" w:hAnsi="Times New Roman" w:cs="Times New Roman"/>
          <w:sz w:val="24"/>
          <w:szCs w:val="24"/>
        </w:rPr>
      </w:pPr>
      <w:r w:rsidRPr="001A61FC">
        <w:rPr>
          <w:rFonts w:ascii="Times New Roman" w:eastAsia="Times New Roman" w:hAnsi="Times New Roman" w:cs="Times New Roman"/>
          <w:sz w:val="24"/>
          <w:szCs w:val="24"/>
        </w:rPr>
        <w:t xml:space="preserve">(j) </w:t>
      </w:r>
      <w:r w:rsidRPr="001A61FC">
        <w:rPr>
          <w:rFonts w:ascii="Times New Roman" w:eastAsia="Times New Roman" w:hAnsi="Times New Roman" w:cs="Times New Roman"/>
          <w:bCs/>
          <w:sz w:val="24"/>
          <w:szCs w:val="24"/>
        </w:rPr>
        <w:t>Certain group or group-type insurance programs.</w:t>
      </w:r>
    </w:p>
    <w:p w:rsidR="00F23015" w:rsidRPr="001A61FC" w:rsidRDefault="00F23015" w:rsidP="00F23015">
      <w:pPr>
        <w:spacing w:before="100" w:beforeAutospacing="1" w:after="100" w:afterAutospacing="1" w:line="240" w:lineRule="auto"/>
        <w:rPr>
          <w:rFonts w:ascii="Times New Roman" w:eastAsia="Times New Roman" w:hAnsi="Times New Roman" w:cs="Times New Roman"/>
          <w:sz w:val="24"/>
          <w:szCs w:val="24"/>
        </w:rPr>
      </w:pPr>
      <w:r w:rsidRPr="001A61FC">
        <w:rPr>
          <w:rFonts w:ascii="Times New Roman" w:eastAsia="Times New Roman" w:hAnsi="Times New Roman" w:cs="Times New Roman"/>
          <w:sz w:val="24"/>
          <w:szCs w:val="24"/>
        </w:rPr>
        <w:t>For purposes of Title I of the Act and this chapter, the terms "employee welfare benefit plan" and "welfare plan" shall not include a group or group-type insurance program offered by an insurer to employees or members of an employee organization, under which</w:t>
      </w:r>
    </w:p>
    <w:p w:rsidR="00F23015" w:rsidRPr="001A61FC" w:rsidRDefault="00F23015" w:rsidP="00F23015">
      <w:pPr>
        <w:spacing w:before="100" w:beforeAutospacing="1" w:after="100" w:afterAutospacing="1" w:line="240" w:lineRule="auto"/>
        <w:rPr>
          <w:rFonts w:ascii="Times New Roman" w:eastAsia="Times New Roman" w:hAnsi="Times New Roman" w:cs="Times New Roman"/>
          <w:sz w:val="24"/>
          <w:szCs w:val="24"/>
        </w:rPr>
      </w:pPr>
      <w:r w:rsidRPr="001A61FC">
        <w:rPr>
          <w:rFonts w:ascii="Times New Roman" w:eastAsia="Times New Roman" w:hAnsi="Times New Roman" w:cs="Times New Roman"/>
          <w:sz w:val="24"/>
          <w:szCs w:val="24"/>
        </w:rPr>
        <w:t>(1) no contributions are made by an employer or employee organization;</w:t>
      </w:r>
    </w:p>
    <w:p w:rsidR="00F23015" w:rsidRPr="001A61FC" w:rsidRDefault="00F23015" w:rsidP="00F23015">
      <w:pPr>
        <w:spacing w:before="100" w:beforeAutospacing="1" w:after="100" w:afterAutospacing="1" w:line="240" w:lineRule="auto"/>
        <w:rPr>
          <w:rFonts w:ascii="Times New Roman" w:eastAsia="Times New Roman" w:hAnsi="Times New Roman" w:cs="Times New Roman"/>
          <w:sz w:val="24"/>
          <w:szCs w:val="24"/>
        </w:rPr>
      </w:pPr>
      <w:r w:rsidRPr="001A61FC">
        <w:rPr>
          <w:rFonts w:ascii="Times New Roman" w:eastAsia="Times New Roman" w:hAnsi="Times New Roman" w:cs="Times New Roman"/>
          <w:sz w:val="24"/>
          <w:szCs w:val="24"/>
        </w:rPr>
        <w:t xml:space="preserve"> (2) participation in the program is completely voluntary;</w:t>
      </w:r>
    </w:p>
    <w:p w:rsidR="00F23015" w:rsidRPr="001A61FC" w:rsidRDefault="00F23015" w:rsidP="00F23015">
      <w:pPr>
        <w:spacing w:before="100" w:beforeAutospacing="1" w:after="100" w:afterAutospacing="1" w:line="240" w:lineRule="auto"/>
        <w:rPr>
          <w:rFonts w:ascii="Times New Roman" w:eastAsia="Times New Roman" w:hAnsi="Times New Roman" w:cs="Times New Roman"/>
          <w:sz w:val="24"/>
          <w:szCs w:val="24"/>
        </w:rPr>
      </w:pPr>
      <w:r w:rsidRPr="001A61FC">
        <w:rPr>
          <w:rFonts w:ascii="Times New Roman" w:eastAsia="Times New Roman" w:hAnsi="Times New Roman" w:cs="Times New Roman"/>
          <w:sz w:val="24"/>
          <w:szCs w:val="24"/>
        </w:rPr>
        <w:t>(3) the sole functions of the employer or employee organization with respect to the program are, without endorsing the program, to permit the insurer to publicize the program to employees or members, to collect premiums through payroll deductions or dues checkoffs and to remit them to the insurer; and</w:t>
      </w:r>
    </w:p>
    <w:p w:rsidR="00F23015" w:rsidRPr="001A61FC" w:rsidRDefault="00F23015" w:rsidP="00F23015">
      <w:pPr>
        <w:spacing w:before="100" w:beforeAutospacing="1" w:after="100" w:afterAutospacing="1" w:line="240" w:lineRule="auto"/>
        <w:rPr>
          <w:rFonts w:ascii="Times New Roman" w:eastAsia="Times New Roman" w:hAnsi="Times New Roman" w:cs="Times New Roman"/>
          <w:sz w:val="24"/>
          <w:szCs w:val="24"/>
        </w:rPr>
      </w:pPr>
      <w:r w:rsidRPr="001A61FC">
        <w:rPr>
          <w:rFonts w:ascii="Times New Roman" w:eastAsia="Times New Roman" w:hAnsi="Times New Roman" w:cs="Times New Roman"/>
          <w:sz w:val="24"/>
          <w:szCs w:val="24"/>
        </w:rPr>
        <w:t>(4) the employer or employee organization receives no consideration in the form of cash or otherwise in connection with the program, other than reasonable compensation, excluding any profit, for administrative services actually rendered in connection with payroll deductions or dues checkoffs.</w:t>
      </w:r>
    </w:p>
    <w:p w:rsidR="00F23015" w:rsidRPr="001A61FC" w:rsidRDefault="00F23015" w:rsidP="00F23015">
      <w:pPr>
        <w:spacing w:before="100" w:beforeAutospacing="1" w:after="100" w:afterAutospacing="1" w:line="240" w:lineRule="auto"/>
        <w:rPr>
          <w:rFonts w:ascii="Times New Roman" w:eastAsia="Times New Roman" w:hAnsi="Times New Roman" w:cs="Times New Roman"/>
          <w:sz w:val="24"/>
          <w:szCs w:val="24"/>
        </w:rPr>
      </w:pPr>
      <w:r w:rsidRPr="001A61FC">
        <w:rPr>
          <w:rFonts w:ascii="Times New Roman" w:eastAsia="Times New Roman" w:hAnsi="Times New Roman" w:cs="Times New Roman"/>
          <w:sz w:val="24"/>
          <w:szCs w:val="24"/>
        </w:rPr>
        <w:t>A program will be excluded from Title I of ERISA pursuant to regulation section 2510.3-1(j) only if the activities of the employer or employee organization do not exceed any of the limitations set forth in the regulation….And see Department of Labor Opinion Letter to Mr. Jerry L. Oppenheimer, dated Dec. 16, 1976, In that letter the Department opined that a communication to employees or members that states that the employer or employee organization is "enthusiastic" about a program would be an endorsement within the meaning of section 2510.3-1(j)(3). Similarly, a communication that states that the employer or employee organization has "arranged" for a group or group-type insurance program might be an endorsement if, taken together with other employer or employee organization activities, it leads employees or members to reasonably conclude that the insurance program is one established or maintained by the employer or employee organization.</w:t>
      </w:r>
    </w:p>
    <w:p w:rsidR="00F23015" w:rsidRPr="001A61FC" w:rsidRDefault="00F23015" w:rsidP="00F23015">
      <w:pPr>
        <w:pStyle w:val="EndnoteText"/>
        <w:rPr>
          <w:rFonts w:ascii="Times New Roman" w:hAnsi="Times New Roman" w:cs="Times New Roman"/>
          <w:sz w:val="24"/>
          <w:szCs w:val="24"/>
        </w:rPr>
      </w:pPr>
    </w:p>
  </w:endnote>
  <w:endnote w:id="3">
    <w:p w:rsidR="00693154" w:rsidRPr="001A61FC" w:rsidRDefault="00693154">
      <w:pPr>
        <w:pStyle w:val="EndnoteText"/>
        <w:rPr>
          <w:rFonts w:ascii="Times New Roman" w:hAnsi="Times New Roman" w:cs="Times New Roman"/>
          <w:sz w:val="24"/>
          <w:szCs w:val="24"/>
        </w:rPr>
      </w:pPr>
      <w:r w:rsidRPr="001A61FC">
        <w:rPr>
          <w:rStyle w:val="EndnoteReference"/>
          <w:rFonts w:ascii="Times New Roman" w:hAnsi="Times New Roman" w:cs="Times New Roman"/>
          <w:sz w:val="24"/>
          <w:szCs w:val="24"/>
        </w:rPr>
        <w:endnoteRef/>
      </w:r>
      <w:r w:rsidRPr="001A61FC">
        <w:rPr>
          <w:rFonts w:ascii="Times New Roman" w:hAnsi="Times New Roman" w:cs="Times New Roman"/>
          <w:sz w:val="24"/>
          <w:szCs w:val="24"/>
        </w:rPr>
        <w:t xml:space="preserve"> Variations of the definition of disability are common and therefore the policy must be carefully reviewed to ensure that the claimant satisfies the definition and the proof of claim requirements contained within the policy itself.  For example, some LTD policies only require proof that the claimant cannot perform the duties of his own occupation for the duration of the policy period of coverage; other policies might contain a requirement that the claimant prove he cannot perform the duties of his own occupation for a limited period (eg 24 months) followed by proof that the claimant cannot perform the duties of any occupation for the balance of the policy period.  (commonly to age 65 or full retirement age).</w:t>
      </w:r>
    </w:p>
  </w:endnote>
  <w:endnote w:id="4">
    <w:p w:rsidR="00EC2722" w:rsidRDefault="00EC2722">
      <w:pPr>
        <w:pStyle w:val="EndnoteText"/>
      </w:pPr>
      <w:r>
        <w:rPr>
          <w:rStyle w:val="EndnoteReference"/>
        </w:rPr>
        <w:endnoteRef/>
      </w:r>
      <w:r>
        <w:t xml:space="preserve"> </w:t>
      </w:r>
      <w:hyperlink r:id="rId1" w:history="1">
        <w:r w:rsidR="00301216" w:rsidRPr="00E65948">
          <w:rPr>
            <w:rStyle w:val="Hyperlink"/>
          </w:rPr>
          <w:t>http://www.fmnetnews.com/wp_content/uploads/disabilityfibroversionjuly2207.pdf</w:t>
        </w:r>
      </w:hyperlink>
      <w:r w:rsidR="00301216">
        <w:t xml:space="preserve"> a</w:t>
      </w:r>
      <w:r w:rsidR="00301216" w:rsidRPr="00301216">
        <w:t xml:space="preserve"> </w:t>
      </w:r>
      <w:hyperlink r:id="rId2" w:history="1">
        <w:r w:rsidR="00EA336E" w:rsidRPr="00E65948">
          <w:rPr>
            <w:rStyle w:val="Hyperlink"/>
          </w:rPr>
          <w:t>https://www.prohealth.com/library/the-functional-capacity-evaluation-fce-and-your-disability-insurance-benefits-33900</w:t>
        </w:r>
      </w:hyperlink>
      <w:r w:rsidR="00EA336E">
        <w:t xml:space="preserve"> </w:t>
      </w:r>
      <w:r w:rsidR="00301216">
        <w:t xml:space="preserve"> </w:t>
      </w:r>
      <w:r w:rsidR="00EA336E">
        <w:t xml:space="preserve"> </w:t>
      </w:r>
    </w:p>
  </w:endnote>
  <w:endnote w:id="5">
    <w:p w:rsidR="003B0324" w:rsidRDefault="003B0324" w:rsidP="003B0324">
      <w:pPr>
        <w:pStyle w:val="EndnoteText"/>
      </w:pPr>
      <w:r>
        <w:rPr>
          <w:rStyle w:val="EndnoteReference"/>
        </w:rPr>
        <w:endnoteRef/>
      </w:r>
      <w:r>
        <w:t xml:space="preserve">   https://www.ncbi.nlm.nih.gov/pmc/articles/PMC4482824/ and http://neuroimmune.cornell.edu/research/physiology/ </w:t>
      </w:r>
    </w:p>
    <w:p w:rsidR="003B0324" w:rsidRDefault="003B0324" w:rsidP="003B0324">
      <w:pPr>
        <w:pStyle w:val="EndnoteText"/>
      </w:pPr>
      <w:r>
        <w:t xml:space="preserve">   https://www.ncbi.nlm.nih.gov/m/pubmed/23527651 </w:t>
      </w:r>
    </w:p>
    <w:p w:rsidR="003B0324" w:rsidRDefault="003B0324" w:rsidP="003B0324">
      <w:pPr>
        <w:pStyle w:val="EndnoteText"/>
      </w:pPr>
      <w:r>
        <w:t xml:space="preserve">  https://www.ncbi.nlm.nih.gov/pmc/articles/PMC4734796/ Forty-seven outpatients were selected over a 3-month period and divided into an observation group (24 outpatients) and a control group (23 outpatients) by using the non-probability sampling method. All of them were given a routine EEG. The BEAM and the correlation dimension changes were analyzed to characterize the EEG features.</w:t>
      </w:r>
    </w:p>
    <w:p w:rsidR="003B0324" w:rsidRDefault="003B0324" w:rsidP="003B0324">
      <w:pPr>
        <w:pStyle w:val="EndnoteText"/>
      </w:pPr>
      <w:r>
        <w:t>Results</w:t>
      </w:r>
    </w:p>
    <w:p w:rsidR="003B0324" w:rsidRDefault="003B0324" w:rsidP="003B0324">
      <w:pPr>
        <w:pStyle w:val="EndnoteText"/>
      </w:pPr>
      <w:r>
        <w:t>1) BEAM results indicated that the energy values of δ, θ, and α1 waves significantly increased in the observation group, compared with the control group (P&lt;0.05, P&lt;0.01, respectively), which suggests that the brain electrical activities in CFS patients were significantly reduced and stayed in an inhibitory state; 2) the increase of δ, θ, and α1 energy values in the right frontal and left occipital regions was more significant than other encephalic regions in CFS patients, indicating the region-specific encephalic distribution; 3) the correlation dimension in the observation group was significantly lower than the control group, suggesting decreased EEG complexity in CFS patients.</w:t>
      </w:r>
    </w:p>
    <w:p w:rsidR="003B0324" w:rsidRDefault="003B0324" w:rsidP="003B0324">
      <w:pPr>
        <w:pStyle w:val="EndnoteText"/>
      </w:pPr>
      <w:r>
        <w:t>The spontaneous brain electrical activities in CFS patients were significantly reduced. The abnormal changes in the cerebral functions were localized at the right frontal and left occipital regions in CFS patients.</w:t>
      </w:r>
    </w:p>
    <w:p w:rsidR="003B0324" w:rsidRDefault="003B0324">
      <w:pPr>
        <w:pStyle w:val="EndnoteText"/>
      </w:pPr>
    </w:p>
  </w:endnote>
  <w:endnote w:id="6">
    <w:p w:rsidR="003B0324" w:rsidRDefault="003B0324" w:rsidP="003B0324">
      <w:pPr>
        <w:pStyle w:val="FootnoteText"/>
      </w:pPr>
      <w:r>
        <w:rPr>
          <w:rStyle w:val="EndnoteReference"/>
        </w:rPr>
        <w:endnoteRef/>
      </w:r>
      <w:r>
        <w:t xml:space="preserve"> </w:t>
      </w:r>
      <w:r>
        <w:rPr>
          <w:rStyle w:val="FootnoteReference"/>
        </w:rPr>
        <w:endnoteRef/>
      </w:r>
      <w:r>
        <w:t xml:space="preserve"> </w:t>
      </w:r>
      <w:hyperlink r:id="rId3" w:history="1">
        <w:r w:rsidRPr="00741716">
          <w:rPr>
            <w:rStyle w:val="Hyperlink"/>
          </w:rPr>
          <w:t>https://www.ncbi.nlm.nih.gov/pmc/articles/PMC4482824/</w:t>
        </w:r>
      </w:hyperlink>
      <w:r>
        <w:t xml:space="preserve"> and </w:t>
      </w:r>
      <w:hyperlink r:id="rId4" w:history="1">
        <w:r w:rsidRPr="00741716">
          <w:rPr>
            <w:rStyle w:val="Hyperlink"/>
          </w:rPr>
          <w:t>http://neuroimmune.cornell.edu/research/physiology/</w:t>
        </w:r>
      </w:hyperlink>
      <w:r>
        <w:t xml:space="preserve"> </w:t>
      </w:r>
    </w:p>
    <w:p w:rsidR="003B0324" w:rsidRDefault="003B0324" w:rsidP="003B0324">
      <w:pPr>
        <w:pStyle w:val="FootnoteText"/>
      </w:pPr>
      <w:r>
        <w:rPr>
          <w:rStyle w:val="FootnoteReference"/>
        </w:rPr>
        <w:endnoteRef/>
      </w:r>
      <w:r>
        <w:rPr>
          <w:rStyle w:val="FootnoteReference"/>
        </w:rPr>
        <w:endnoteRef/>
      </w:r>
      <w:r>
        <w:t xml:space="preserve"> </w:t>
      </w:r>
      <w:hyperlink r:id="rId5" w:history="1">
        <w:r w:rsidRPr="00741716">
          <w:rPr>
            <w:rStyle w:val="Hyperlink"/>
          </w:rPr>
          <w:t>https://www.ncbi.nlm.nih.gov/m/pubmed/23527651</w:t>
        </w:r>
      </w:hyperlink>
      <w:r>
        <w:t xml:space="preserve"> </w:t>
      </w:r>
    </w:p>
    <w:p w:rsidR="003B0324" w:rsidRPr="003B0324" w:rsidRDefault="003B0324" w:rsidP="003B0324">
      <w:pPr>
        <w:pStyle w:val="p"/>
        <w:shd w:val="clear" w:color="auto" w:fill="FFFFFF"/>
        <w:spacing w:before="166" w:beforeAutospacing="0" w:after="166" w:afterAutospacing="0"/>
        <w:rPr>
          <w:color w:val="000000"/>
        </w:rPr>
      </w:pPr>
      <w:r>
        <w:rPr>
          <w:rStyle w:val="FootnoteReference"/>
        </w:rPr>
        <w:endnoteRef/>
      </w:r>
      <w:r>
        <w:t xml:space="preserve"> </w:t>
      </w:r>
      <w:hyperlink r:id="rId6" w:history="1">
        <w:r w:rsidRPr="00741716">
          <w:rPr>
            <w:rStyle w:val="Hyperlink"/>
          </w:rPr>
          <w:t>https://www.ncbi.nlm.nih.gov/pmc/articles/PMC4734796/</w:t>
        </w:r>
      </w:hyperlink>
      <w:r>
        <w:t xml:space="preserve"> </w:t>
      </w:r>
      <w:r>
        <w:rPr>
          <w:color w:val="000000"/>
        </w:rPr>
        <w:t>Forty-seven outpatients were selected over a 3-month period and divided into an observation group (24 outpatients) and a control group (23 outpatients) by using the non-probability sampling method. All of them were given a routine EEG. The BEAM and the correlation dimension changes were analyzed to characterize the EEG features.</w:t>
      </w:r>
    </w:p>
    <w:p w:rsidR="003B0324" w:rsidRDefault="003B0324" w:rsidP="003B0324">
      <w:pPr>
        <w:pStyle w:val="p"/>
        <w:shd w:val="clear" w:color="auto" w:fill="FFFFFF"/>
        <w:spacing w:before="166" w:beforeAutospacing="0" w:after="166" w:afterAutospacing="0"/>
        <w:rPr>
          <w:color w:val="000000"/>
        </w:rPr>
      </w:pPr>
      <w:r>
        <w:rPr>
          <w:color w:val="000000"/>
        </w:rPr>
        <w:t>1) BEAM results indicated that the energy values of δ, θ, and α</w:t>
      </w:r>
      <w:r>
        <w:rPr>
          <w:color w:val="000000"/>
          <w:sz w:val="20"/>
          <w:szCs w:val="20"/>
          <w:vertAlign w:val="subscript"/>
        </w:rPr>
        <w:t>1</w:t>
      </w:r>
      <w:r>
        <w:rPr>
          <w:color w:val="000000"/>
        </w:rPr>
        <w:t> waves significantly increased in the observation group, compared with the control group (</w:t>
      </w:r>
      <w:r>
        <w:rPr>
          <w:rStyle w:val="Emphasis"/>
          <w:color w:val="000000"/>
        </w:rPr>
        <w:t>P</w:t>
      </w:r>
      <w:r>
        <w:rPr>
          <w:color w:val="000000"/>
        </w:rPr>
        <w:t>&lt;0.05, </w:t>
      </w:r>
      <w:r>
        <w:rPr>
          <w:rStyle w:val="Emphasis"/>
          <w:color w:val="000000"/>
        </w:rPr>
        <w:t>P</w:t>
      </w:r>
      <w:r>
        <w:rPr>
          <w:color w:val="000000"/>
        </w:rPr>
        <w:t>&lt;0.01, respectively), which suggests that the brain electrical activities in CFS patients were significantly reduced and stayed in an inhibitory state; 2) the increase of δ, θ, and α</w:t>
      </w:r>
      <w:r>
        <w:rPr>
          <w:color w:val="000000"/>
          <w:sz w:val="20"/>
          <w:szCs w:val="20"/>
          <w:vertAlign w:val="subscript"/>
        </w:rPr>
        <w:t>1</w:t>
      </w:r>
      <w:r>
        <w:rPr>
          <w:color w:val="000000"/>
        </w:rPr>
        <w:t> energy values in the right frontal and left occipital regions was more significant than other encephalic regions in CFS patients, indicating the region-specific encephalic distribution; 3) the correlation dimension in the observation group was significantly lower than the control group, suggesting decreased EEG complexity in CFS patients.</w:t>
      </w:r>
    </w:p>
    <w:p w:rsidR="003B0324" w:rsidRPr="00A57221" w:rsidRDefault="003B0324" w:rsidP="003B0324">
      <w:pPr>
        <w:shd w:val="clear" w:color="auto" w:fill="FFFFFF"/>
        <w:rPr>
          <w:rFonts w:ascii="Arial" w:hAnsi="Arial" w:cs="Arial"/>
          <w:color w:val="000000"/>
        </w:rPr>
      </w:pPr>
      <w:r>
        <w:rPr>
          <w:color w:val="000000"/>
        </w:rPr>
        <w:t>The spontaneous brain electrical activities in CFS patients were significantly reduced. The abnormal changes in the cerebral functions were localized at the right frontal and left occipital regions in CFS patients.</w:t>
      </w:r>
    </w:p>
    <w:p w:rsidR="003B0324" w:rsidRDefault="003B0324" w:rsidP="003B0324">
      <w:pPr>
        <w:pStyle w:val="FootnoteText"/>
      </w:pPr>
    </w:p>
    <w:p w:rsidR="003B0324" w:rsidRDefault="003B0324">
      <w:pPr>
        <w:pStyle w:val="EndnoteText"/>
      </w:pPr>
    </w:p>
  </w:endnote>
  <w:endnote w:id="7">
    <w:p w:rsidR="006407D5" w:rsidRDefault="006407D5">
      <w:pPr>
        <w:pStyle w:val="EndnoteText"/>
      </w:pPr>
      <w:r>
        <w:rPr>
          <w:rStyle w:val="EndnoteReference"/>
        </w:rPr>
        <w:endnoteRef/>
      </w:r>
      <w:r>
        <w:t xml:space="preserve"> </w:t>
      </w:r>
      <w:hyperlink r:id="rId7" w:history="1">
        <w:r w:rsidRPr="00E65948">
          <w:rPr>
            <w:rStyle w:val="Hyperlink"/>
          </w:rPr>
          <w:t>https://www.ncbi.nlm.nih.gov/pmc/articles/PMC4482824/</w:t>
        </w:r>
      </w:hyperlink>
      <w:r>
        <w:t xml:space="preserve"> </w:t>
      </w:r>
    </w:p>
  </w:endnote>
  <w:endnote w:id="8">
    <w:p w:rsidR="003B0324" w:rsidRDefault="003B0324">
      <w:pPr>
        <w:pStyle w:val="EndnoteText"/>
      </w:pPr>
    </w:p>
  </w:endnote>
  <w:endnote w:id="9">
    <w:p w:rsidR="008B0D2C" w:rsidRDefault="008B0D2C">
      <w:pPr>
        <w:pStyle w:val="EndnoteText"/>
      </w:pPr>
      <w:r>
        <w:rPr>
          <w:rStyle w:val="EndnoteReference"/>
        </w:rPr>
        <w:endnoteRef/>
      </w:r>
      <w:r>
        <w:t xml:space="preserve"> </w:t>
      </w:r>
      <w:hyperlink r:id="rId8" w:history="1">
        <w:r w:rsidRPr="00741716">
          <w:rPr>
            <w:rStyle w:val="Hyperlink"/>
          </w:rPr>
          <w:t>https://sciforschenonline.org/journals/clinical-research/CLROA-2-110.php</w:t>
        </w:r>
      </w:hyperlink>
      <w:r>
        <w:t xml:space="preserve"> </w:t>
      </w:r>
    </w:p>
  </w:endnote>
  <w:endnote w:id="10">
    <w:p w:rsidR="008B0D2C" w:rsidRDefault="008B0D2C">
      <w:pPr>
        <w:pStyle w:val="EndnoteText"/>
      </w:pPr>
      <w:r>
        <w:rPr>
          <w:rStyle w:val="EndnoteReference"/>
        </w:rPr>
        <w:endnoteRef/>
      </w:r>
      <w:hyperlink r:id="rId9" w:history="1">
        <w:r w:rsidRPr="00741716">
          <w:rPr>
            <w:rStyle w:val="Hyperlink"/>
          </w:rPr>
          <w:t>http://www.ncf-net.org/library/sp.htm</w:t>
        </w:r>
      </w:hyperlink>
      <w:r>
        <w:t xml:space="preserve"> </w:t>
      </w:r>
      <w:r w:rsidRPr="008B0D2C">
        <w:t>Patients with AIDS dementia complex had the largest number of defects (9.15 per patient) and healthy patients had the fewest defects (1.66 per patient). Patients with chronic fatigue syndrome and depression had similar numbers of defects per patient (6.53 and 6.43, respectively). In all groups, defects were located predominantly in the frontal and temporal lobes. The midcerebral uptake index was found to be significantly lower (p &lt; .002) in the patients with chronic fatigue syndrome (.667) and patients with AIDS dementia complex (.650) than in patients with major depression (.731) or healthy control subjects (.716). Also, a significant negative correlation was found between the number of defects and midcerebral uptake index in patients with chronic fatigue syndrome and AIDS dementia complex, but not in depressed patients or control subjects.</w:t>
      </w:r>
    </w:p>
  </w:endnote>
  <w:endnote w:id="11">
    <w:p w:rsidR="00D93596" w:rsidRDefault="00D93596">
      <w:pPr>
        <w:pStyle w:val="EndnoteText"/>
      </w:pPr>
      <w:r>
        <w:rPr>
          <w:rStyle w:val="EndnoteReference"/>
        </w:rPr>
        <w:endnoteRef/>
      </w:r>
      <w:r>
        <w:t xml:space="preserve"> </w:t>
      </w:r>
      <w:hyperlink r:id="rId10" w:history="1">
        <w:r w:rsidR="00500791" w:rsidRPr="005718B3">
          <w:rPr>
            <w:rStyle w:val="Hyperlink"/>
          </w:rPr>
          <w:t>https://prevention.nih.gov/docs/programs/mecfs/ODP-P2P-MECFS-FinalReport.pdf</w:t>
        </w:r>
      </w:hyperlink>
      <w:r w:rsidR="00500791">
        <w:t xml:space="preserve"> </w:t>
      </w:r>
    </w:p>
    <w:p w:rsidR="00971833" w:rsidRDefault="0097183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2F7" w:rsidRDefault="004D2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624" w:rsidRPr="00E03624" w:rsidRDefault="004D22F7" w:rsidP="00E03624">
    <w:pPr>
      <w:pStyle w:val="Footer"/>
      <w:pBdr>
        <w:top w:val="thinThickSmallGap" w:sz="24" w:space="1" w:color="622423" w:themeColor="accent2" w:themeShade="7F"/>
      </w:pBdr>
      <w:rPr>
        <w:rFonts w:asciiTheme="majorHAnsi" w:hAnsiTheme="majorHAnsi"/>
      </w:rPr>
    </w:pPr>
    <w:r>
      <w:rPr>
        <w:rFonts w:asciiTheme="majorHAnsi" w:hAnsiTheme="majorHAnsi"/>
      </w:rPr>
      <w:t>ME/CFS LTD                                                Barbara B. Comerford, Esq                                    July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2F7" w:rsidRDefault="004D2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036" w:rsidRDefault="00D72036" w:rsidP="00657CC9">
      <w:pPr>
        <w:spacing w:after="0" w:line="240" w:lineRule="auto"/>
      </w:pPr>
      <w:r>
        <w:separator/>
      </w:r>
    </w:p>
  </w:footnote>
  <w:footnote w:type="continuationSeparator" w:id="0">
    <w:p w:rsidR="00D72036" w:rsidRDefault="00D72036" w:rsidP="00657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2F7" w:rsidRDefault="004D2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699613"/>
      <w:docPartObj>
        <w:docPartGallery w:val="Page Numbers (Top of Page)"/>
        <w:docPartUnique/>
      </w:docPartObj>
    </w:sdtPr>
    <w:sdtEndPr>
      <w:rPr>
        <w:noProof/>
      </w:rPr>
    </w:sdtEndPr>
    <w:sdtContent>
      <w:p w:rsidR="00993C2E" w:rsidRDefault="00993C2E">
        <w:pPr>
          <w:pStyle w:val="Header"/>
        </w:pPr>
        <w:r>
          <w:fldChar w:fldCharType="begin"/>
        </w:r>
        <w:r>
          <w:instrText xml:space="preserve"> PAGE   \* MERGEFORMAT </w:instrText>
        </w:r>
        <w:r>
          <w:fldChar w:fldCharType="separate"/>
        </w:r>
        <w:r w:rsidR="00B408FE">
          <w:rPr>
            <w:noProof/>
          </w:rPr>
          <w:t>9</w:t>
        </w:r>
        <w:r>
          <w:rPr>
            <w:noProof/>
          </w:rPr>
          <w:fldChar w:fldCharType="end"/>
        </w:r>
      </w:p>
    </w:sdtContent>
  </w:sdt>
  <w:p w:rsidR="00993C2E" w:rsidRDefault="00993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2F7" w:rsidRDefault="004D2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B1"/>
    <w:multiLevelType w:val="hybridMultilevel"/>
    <w:tmpl w:val="078A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87FFB"/>
    <w:multiLevelType w:val="hybridMultilevel"/>
    <w:tmpl w:val="1164A134"/>
    <w:lvl w:ilvl="0" w:tplc="9D4C10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01763"/>
    <w:multiLevelType w:val="hybridMultilevel"/>
    <w:tmpl w:val="BACEE0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212514"/>
    <w:multiLevelType w:val="hybridMultilevel"/>
    <w:tmpl w:val="D638D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D75E85"/>
    <w:multiLevelType w:val="hybridMultilevel"/>
    <w:tmpl w:val="43BE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04AAE"/>
    <w:multiLevelType w:val="multilevel"/>
    <w:tmpl w:val="5C86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70922"/>
    <w:multiLevelType w:val="hybridMultilevel"/>
    <w:tmpl w:val="71D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555A7"/>
    <w:multiLevelType w:val="multilevel"/>
    <w:tmpl w:val="716E0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D6899"/>
    <w:multiLevelType w:val="hybridMultilevel"/>
    <w:tmpl w:val="0296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7655A"/>
    <w:multiLevelType w:val="multilevel"/>
    <w:tmpl w:val="0B10C1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6F775E"/>
    <w:multiLevelType w:val="hybridMultilevel"/>
    <w:tmpl w:val="686E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F6E8F"/>
    <w:multiLevelType w:val="multilevel"/>
    <w:tmpl w:val="4A90E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5F5C04"/>
    <w:multiLevelType w:val="hybridMultilevel"/>
    <w:tmpl w:val="A1002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503216"/>
    <w:multiLevelType w:val="hybridMultilevel"/>
    <w:tmpl w:val="81948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C667A5"/>
    <w:multiLevelType w:val="hybridMultilevel"/>
    <w:tmpl w:val="B10E0AA4"/>
    <w:lvl w:ilvl="0" w:tplc="2E143C5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DE7341"/>
    <w:multiLevelType w:val="hybridMultilevel"/>
    <w:tmpl w:val="CBBA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6B6E9A"/>
    <w:multiLevelType w:val="hybridMultilevel"/>
    <w:tmpl w:val="946ED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8322BB"/>
    <w:multiLevelType w:val="hybridMultilevel"/>
    <w:tmpl w:val="1D68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761611"/>
    <w:multiLevelType w:val="hybridMultilevel"/>
    <w:tmpl w:val="FADC83C2"/>
    <w:lvl w:ilvl="0" w:tplc="1E7E0E5A">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59EA3D2F"/>
    <w:multiLevelType w:val="hybridMultilevel"/>
    <w:tmpl w:val="C690F454"/>
    <w:lvl w:ilvl="0" w:tplc="DB62C57A">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5398B"/>
    <w:multiLevelType w:val="hybridMultilevel"/>
    <w:tmpl w:val="DF7C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6798E"/>
    <w:multiLevelType w:val="multilevel"/>
    <w:tmpl w:val="0A944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B9D694E"/>
    <w:multiLevelType w:val="hybridMultilevel"/>
    <w:tmpl w:val="35C2AA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7400B0"/>
    <w:multiLevelType w:val="hybridMultilevel"/>
    <w:tmpl w:val="0F9637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98599A"/>
    <w:multiLevelType w:val="hybridMultilevel"/>
    <w:tmpl w:val="7C044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4B00C7"/>
    <w:multiLevelType w:val="multilevel"/>
    <w:tmpl w:val="DDBE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D4460E"/>
    <w:multiLevelType w:val="hybridMultilevel"/>
    <w:tmpl w:val="B15E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B70AF9"/>
    <w:multiLevelType w:val="hybridMultilevel"/>
    <w:tmpl w:val="1D965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9A2361"/>
    <w:multiLevelType w:val="hybridMultilevel"/>
    <w:tmpl w:val="0E6E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1A3765"/>
    <w:multiLevelType w:val="hybridMultilevel"/>
    <w:tmpl w:val="D92034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8128C1"/>
    <w:multiLevelType w:val="hybridMultilevel"/>
    <w:tmpl w:val="6C00D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B4457A"/>
    <w:multiLevelType w:val="multilevel"/>
    <w:tmpl w:val="260A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C24A1B"/>
    <w:multiLevelType w:val="hybridMultilevel"/>
    <w:tmpl w:val="4C0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1A7314"/>
    <w:multiLevelType w:val="hybridMultilevel"/>
    <w:tmpl w:val="370E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62CFF"/>
    <w:multiLevelType w:val="hybridMultilevel"/>
    <w:tmpl w:val="098C9186"/>
    <w:lvl w:ilvl="0" w:tplc="565A5472">
      <w:start w:val="1"/>
      <w:numFmt w:val="decimal"/>
      <w:lvlText w:val="%1."/>
      <w:lvlJc w:val="left"/>
      <w:pPr>
        <w:ind w:left="36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38166C2"/>
    <w:multiLevelType w:val="hybridMultilevel"/>
    <w:tmpl w:val="CD34DE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C55D02"/>
    <w:multiLevelType w:val="hybridMultilevel"/>
    <w:tmpl w:val="C32A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87048F"/>
    <w:multiLevelType w:val="hybridMultilevel"/>
    <w:tmpl w:val="496C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E323C7"/>
    <w:multiLevelType w:val="hybridMultilevel"/>
    <w:tmpl w:val="87788E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5"/>
  </w:num>
  <w:num w:numId="3">
    <w:abstractNumId w:val="36"/>
  </w:num>
  <w:num w:numId="4">
    <w:abstractNumId w:val="38"/>
  </w:num>
  <w:num w:numId="5">
    <w:abstractNumId w:val="18"/>
  </w:num>
  <w:num w:numId="6">
    <w:abstractNumId w:val="27"/>
  </w:num>
  <w:num w:numId="7">
    <w:abstractNumId w:val="11"/>
  </w:num>
  <w:num w:numId="8">
    <w:abstractNumId w:val="10"/>
  </w:num>
  <w:num w:numId="9">
    <w:abstractNumId w:val="9"/>
  </w:num>
  <w:num w:numId="10">
    <w:abstractNumId w:val="34"/>
  </w:num>
  <w:num w:numId="11">
    <w:abstractNumId w:val="14"/>
  </w:num>
  <w:num w:numId="12">
    <w:abstractNumId w:val="1"/>
  </w:num>
  <w:num w:numId="13">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0"/>
  </w:num>
  <w:num w:numId="16">
    <w:abstractNumId w:val="16"/>
  </w:num>
  <w:num w:numId="17">
    <w:abstractNumId w:val="4"/>
  </w:num>
  <w:num w:numId="18">
    <w:abstractNumId w:val="13"/>
  </w:num>
  <w:num w:numId="19">
    <w:abstractNumId w:val="37"/>
  </w:num>
  <w:num w:numId="20">
    <w:abstractNumId w:val="5"/>
  </w:num>
  <w:num w:numId="21">
    <w:abstractNumId w:val="31"/>
  </w:num>
  <w:num w:numId="22">
    <w:abstractNumId w:val="33"/>
  </w:num>
  <w:num w:numId="23">
    <w:abstractNumId w:val="29"/>
  </w:num>
  <w:num w:numId="24">
    <w:abstractNumId w:val="3"/>
  </w:num>
  <w:num w:numId="25">
    <w:abstractNumId w:val="12"/>
  </w:num>
  <w:num w:numId="26">
    <w:abstractNumId w:val="0"/>
  </w:num>
  <w:num w:numId="27">
    <w:abstractNumId w:val="24"/>
  </w:num>
  <w:num w:numId="28">
    <w:abstractNumId w:val="26"/>
  </w:num>
  <w:num w:numId="29">
    <w:abstractNumId w:val="22"/>
  </w:num>
  <w:num w:numId="30">
    <w:abstractNumId w:val="23"/>
  </w:num>
  <w:num w:numId="31">
    <w:abstractNumId w:val="8"/>
  </w:num>
  <w:num w:numId="32">
    <w:abstractNumId w:val="17"/>
  </w:num>
  <w:num w:numId="33">
    <w:abstractNumId w:val="15"/>
  </w:num>
  <w:num w:numId="34">
    <w:abstractNumId w:val="35"/>
  </w:num>
  <w:num w:numId="35">
    <w:abstractNumId w:val="20"/>
  </w:num>
  <w:num w:numId="36">
    <w:abstractNumId w:val="2"/>
  </w:num>
  <w:num w:numId="37">
    <w:abstractNumId w:val="19"/>
  </w:num>
  <w:num w:numId="38">
    <w:abstractNumId w:val="3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702"/>
    <w:rsid w:val="00000915"/>
    <w:rsid w:val="000108C2"/>
    <w:rsid w:val="00015507"/>
    <w:rsid w:val="00022805"/>
    <w:rsid w:val="00027579"/>
    <w:rsid w:val="00030BF7"/>
    <w:rsid w:val="00032A4E"/>
    <w:rsid w:val="00041ADA"/>
    <w:rsid w:val="0004346B"/>
    <w:rsid w:val="00043BE8"/>
    <w:rsid w:val="00044476"/>
    <w:rsid w:val="000518F0"/>
    <w:rsid w:val="00052C5E"/>
    <w:rsid w:val="00060339"/>
    <w:rsid w:val="00066D03"/>
    <w:rsid w:val="00067022"/>
    <w:rsid w:val="000904E2"/>
    <w:rsid w:val="00093DBA"/>
    <w:rsid w:val="0009523E"/>
    <w:rsid w:val="000961BE"/>
    <w:rsid w:val="00096B57"/>
    <w:rsid w:val="000A1184"/>
    <w:rsid w:val="000B00E4"/>
    <w:rsid w:val="000B1142"/>
    <w:rsid w:val="000B12D1"/>
    <w:rsid w:val="000B3219"/>
    <w:rsid w:val="000B3920"/>
    <w:rsid w:val="000C1650"/>
    <w:rsid w:val="000C47F6"/>
    <w:rsid w:val="000C600F"/>
    <w:rsid w:val="000E34BF"/>
    <w:rsid w:val="000E3BCB"/>
    <w:rsid w:val="000E4CB1"/>
    <w:rsid w:val="000F245C"/>
    <w:rsid w:val="000F35C7"/>
    <w:rsid w:val="001047B7"/>
    <w:rsid w:val="001049DC"/>
    <w:rsid w:val="00105561"/>
    <w:rsid w:val="0011062E"/>
    <w:rsid w:val="0011260B"/>
    <w:rsid w:val="00134766"/>
    <w:rsid w:val="001354EF"/>
    <w:rsid w:val="00136063"/>
    <w:rsid w:val="00136A99"/>
    <w:rsid w:val="001408FC"/>
    <w:rsid w:val="00141AC8"/>
    <w:rsid w:val="0014227E"/>
    <w:rsid w:val="00142FA2"/>
    <w:rsid w:val="00147903"/>
    <w:rsid w:val="00156535"/>
    <w:rsid w:val="00160662"/>
    <w:rsid w:val="001657EC"/>
    <w:rsid w:val="00171D4A"/>
    <w:rsid w:val="0017268E"/>
    <w:rsid w:val="001726AE"/>
    <w:rsid w:val="00174B21"/>
    <w:rsid w:val="001825EF"/>
    <w:rsid w:val="00185A7F"/>
    <w:rsid w:val="00187747"/>
    <w:rsid w:val="00190AEA"/>
    <w:rsid w:val="001A3F59"/>
    <w:rsid w:val="001A51F9"/>
    <w:rsid w:val="001A61FC"/>
    <w:rsid w:val="001B1EAB"/>
    <w:rsid w:val="001B5785"/>
    <w:rsid w:val="001C2A28"/>
    <w:rsid w:val="001C4CC9"/>
    <w:rsid w:val="001C53DE"/>
    <w:rsid w:val="001C7673"/>
    <w:rsid w:val="001D1629"/>
    <w:rsid w:val="001D2EAE"/>
    <w:rsid w:val="001D38C3"/>
    <w:rsid w:val="001D62CF"/>
    <w:rsid w:val="001D6E9E"/>
    <w:rsid w:val="001E07BE"/>
    <w:rsid w:val="001E0E81"/>
    <w:rsid w:val="001E2152"/>
    <w:rsid w:val="001E23C2"/>
    <w:rsid w:val="001E3E86"/>
    <w:rsid w:val="001E4303"/>
    <w:rsid w:val="001E4729"/>
    <w:rsid w:val="001E7266"/>
    <w:rsid w:val="001F3F85"/>
    <w:rsid w:val="001F5177"/>
    <w:rsid w:val="00200DDB"/>
    <w:rsid w:val="0022199C"/>
    <w:rsid w:val="00224675"/>
    <w:rsid w:val="00225352"/>
    <w:rsid w:val="002343EA"/>
    <w:rsid w:val="002362D2"/>
    <w:rsid w:val="002374E1"/>
    <w:rsid w:val="0024482A"/>
    <w:rsid w:val="00250317"/>
    <w:rsid w:val="002609C2"/>
    <w:rsid w:val="00260EEF"/>
    <w:rsid w:val="00262D19"/>
    <w:rsid w:val="002634AC"/>
    <w:rsid w:val="00265549"/>
    <w:rsid w:val="00265735"/>
    <w:rsid w:val="00272363"/>
    <w:rsid w:val="00276468"/>
    <w:rsid w:val="00282B5A"/>
    <w:rsid w:val="002875D5"/>
    <w:rsid w:val="0029562B"/>
    <w:rsid w:val="002A6215"/>
    <w:rsid w:val="002A6687"/>
    <w:rsid w:val="002A760A"/>
    <w:rsid w:val="002A7779"/>
    <w:rsid w:val="002A7ADE"/>
    <w:rsid w:val="002B0145"/>
    <w:rsid w:val="002B26D9"/>
    <w:rsid w:val="002B36F2"/>
    <w:rsid w:val="002B6158"/>
    <w:rsid w:val="002C255A"/>
    <w:rsid w:val="002D6F4A"/>
    <w:rsid w:val="002D7E7B"/>
    <w:rsid w:val="002E0B67"/>
    <w:rsid w:val="002E2CCC"/>
    <w:rsid w:val="002E53E2"/>
    <w:rsid w:val="002E5AA2"/>
    <w:rsid w:val="002E5C51"/>
    <w:rsid w:val="002E6173"/>
    <w:rsid w:val="002F1ADB"/>
    <w:rsid w:val="002F5C60"/>
    <w:rsid w:val="002F6B32"/>
    <w:rsid w:val="00301216"/>
    <w:rsid w:val="00301BA2"/>
    <w:rsid w:val="0030301B"/>
    <w:rsid w:val="00311DBB"/>
    <w:rsid w:val="003237CD"/>
    <w:rsid w:val="003260B7"/>
    <w:rsid w:val="003273EA"/>
    <w:rsid w:val="00331E63"/>
    <w:rsid w:val="003331C7"/>
    <w:rsid w:val="00346127"/>
    <w:rsid w:val="00347084"/>
    <w:rsid w:val="003475A2"/>
    <w:rsid w:val="0035318C"/>
    <w:rsid w:val="00353CF2"/>
    <w:rsid w:val="00354F5C"/>
    <w:rsid w:val="00361B61"/>
    <w:rsid w:val="00362B53"/>
    <w:rsid w:val="00363609"/>
    <w:rsid w:val="00365814"/>
    <w:rsid w:val="00372215"/>
    <w:rsid w:val="00372E77"/>
    <w:rsid w:val="00374FE1"/>
    <w:rsid w:val="003829A3"/>
    <w:rsid w:val="00395D14"/>
    <w:rsid w:val="00396CAC"/>
    <w:rsid w:val="003A51B7"/>
    <w:rsid w:val="003A5B8C"/>
    <w:rsid w:val="003B0324"/>
    <w:rsid w:val="003B2815"/>
    <w:rsid w:val="003B50F3"/>
    <w:rsid w:val="003B5613"/>
    <w:rsid w:val="003C279D"/>
    <w:rsid w:val="003C346B"/>
    <w:rsid w:val="003C5264"/>
    <w:rsid w:val="003C5A7B"/>
    <w:rsid w:val="003D2238"/>
    <w:rsid w:val="003D568C"/>
    <w:rsid w:val="003D6B1A"/>
    <w:rsid w:val="003E1CA0"/>
    <w:rsid w:val="003E2321"/>
    <w:rsid w:val="003E6749"/>
    <w:rsid w:val="003E6C95"/>
    <w:rsid w:val="003F2EC2"/>
    <w:rsid w:val="00400BF0"/>
    <w:rsid w:val="00405913"/>
    <w:rsid w:val="00407606"/>
    <w:rsid w:val="0041678D"/>
    <w:rsid w:val="0042015F"/>
    <w:rsid w:val="00420A5E"/>
    <w:rsid w:val="00422B13"/>
    <w:rsid w:val="00424532"/>
    <w:rsid w:val="00430B78"/>
    <w:rsid w:val="004326B7"/>
    <w:rsid w:val="0043318C"/>
    <w:rsid w:val="004336A5"/>
    <w:rsid w:val="0043714F"/>
    <w:rsid w:val="0044000C"/>
    <w:rsid w:val="00444180"/>
    <w:rsid w:val="004468B2"/>
    <w:rsid w:val="00451F38"/>
    <w:rsid w:val="004529AE"/>
    <w:rsid w:val="00476A82"/>
    <w:rsid w:val="004857D5"/>
    <w:rsid w:val="00486F15"/>
    <w:rsid w:val="00491537"/>
    <w:rsid w:val="0049369E"/>
    <w:rsid w:val="004A03F5"/>
    <w:rsid w:val="004A2BBC"/>
    <w:rsid w:val="004A4ED1"/>
    <w:rsid w:val="004B32FB"/>
    <w:rsid w:val="004B7D2F"/>
    <w:rsid w:val="004C110F"/>
    <w:rsid w:val="004C201F"/>
    <w:rsid w:val="004C6E34"/>
    <w:rsid w:val="004C6EE0"/>
    <w:rsid w:val="004D0C3F"/>
    <w:rsid w:val="004D22F7"/>
    <w:rsid w:val="004D5A9F"/>
    <w:rsid w:val="004E0031"/>
    <w:rsid w:val="004E0F92"/>
    <w:rsid w:val="004E23A5"/>
    <w:rsid w:val="004E53B6"/>
    <w:rsid w:val="004E730B"/>
    <w:rsid w:val="004F13B1"/>
    <w:rsid w:val="004F4006"/>
    <w:rsid w:val="004F4DFF"/>
    <w:rsid w:val="00500791"/>
    <w:rsid w:val="0050292F"/>
    <w:rsid w:val="00505B8C"/>
    <w:rsid w:val="005061A1"/>
    <w:rsid w:val="00512DBC"/>
    <w:rsid w:val="00513FE5"/>
    <w:rsid w:val="005143FE"/>
    <w:rsid w:val="0052307E"/>
    <w:rsid w:val="00525E97"/>
    <w:rsid w:val="00530726"/>
    <w:rsid w:val="0053298E"/>
    <w:rsid w:val="0053351B"/>
    <w:rsid w:val="0053359A"/>
    <w:rsid w:val="005345AD"/>
    <w:rsid w:val="0053650A"/>
    <w:rsid w:val="00536F10"/>
    <w:rsid w:val="00540A4A"/>
    <w:rsid w:val="00541BB2"/>
    <w:rsid w:val="00552D0D"/>
    <w:rsid w:val="00553ED8"/>
    <w:rsid w:val="00561F20"/>
    <w:rsid w:val="00563296"/>
    <w:rsid w:val="00564C48"/>
    <w:rsid w:val="005668F6"/>
    <w:rsid w:val="00567A62"/>
    <w:rsid w:val="00573C86"/>
    <w:rsid w:val="005744B9"/>
    <w:rsid w:val="00574ADF"/>
    <w:rsid w:val="00582029"/>
    <w:rsid w:val="005844CA"/>
    <w:rsid w:val="0059373E"/>
    <w:rsid w:val="00595FDF"/>
    <w:rsid w:val="00596252"/>
    <w:rsid w:val="005A02E0"/>
    <w:rsid w:val="005A4C85"/>
    <w:rsid w:val="005B5411"/>
    <w:rsid w:val="005C0959"/>
    <w:rsid w:val="005C26F8"/>
    <w:rsid w:val="005C282A"/>
    <w:rsid w:val="005C5676"/>
    <w:rsid w:val="005D3C2C"/>
    <w:rsid w:val="005E33FB"/>
    <w:rsid w:val="005E499A"/>
    <w:rsid w:val="005F1B56"/>
    <w:rsid w:val="00601B2A"/>
    <w:rsid w:val="006075ED"/>
    <w:rsid w:val="00607928"/>
    <w:rsid w:val="00610AFD"/>
    <w:rsid w:val="00612182"/>
    <w:rsid w:val="006126BB"/>
    <w:rsid w:val="00614462"/>
    <w:rsid w:val="00617A3F"/>
    <w:rsid w:val="00620A71"/>
    <w:rsid w:val="00624110"/>
    <w:rsid w:val="00625948"/>
    <w:rsid w:val="00626AB5"/>
    <w:rsid w:val="00632918"/>
    <w:rsid w:val="006349E5"/>
    <w:rsid w:val="006352F3"/>
    <w:rsid w:val="006407D5"/>
    <w:rsid w:val="006409A6"/>
    <w:rsid w:val="00641867"/>
    <w:rsid w:val="00644863"/>
    <w:rsid w:val="006457DF"/>
    <w:rsid w:val="0064715F"/>
    <w:rsid w:val="00651AB0"/>
    <w:rsid w:val="00657CC9"/>
    <w:rsid w:val="00662A0C"/>
    <w:rsid w:val="006664A0"/>
    <w:rsid w:val="00667735"/>
    <w:rsid w:val="0067464C"/>
    <w:rsid w:val="0068105A"/>
    <w:rsid w:val="00686F46"/>
    <w:rsid w:val="00691838"/>
    <w:rsid w:val="00691BE7"/>
    <w:rsid w:val="00693154"/>
    <w:rsid w:val="0069607A"/>
    <w:rsid w:val="00696DE8"/>
    <w:rsid w:val="0069784F"/>
    <w:rsid w:val="006A01E5"/>
    <w:rsid w:val="006B10B6"/>
    <w:rsid w:val="006B2AC2"/>
    <w:rsid w:val="006B2D0F"/>
    <w:rsid w:val="006B4B6B"/>
    <w:rsid w:val="006B7A02"/>
    <w:rsid w:val="006C03A7"/>
    <w:rsid w:val="006C0625"/>
    <w:rsid w:val="006C4BDF"/>
    <w:rsid w:val="006D1E91"/>
    <w:rsid w:val="006D4CDC"/>
    <w:rsid w:val="006E16A8"/>
    <w:rsid w:val="006E1C9E"/>
    <w:rsid w:val="006E376F"/>
    <w:rsid w:val="006E45DB"/>
    <w:rsid w:val="006E59F0"/>
    <w:rsid w:val="00711A6C"/>
    <w:rsid w:val="00712C3A"/>
    <w:rsid w:val="00715832"/>
    <w:rsid w:val="00716E2D"/>
    <w:rsid w:val="00720BC1"/>
    <w:rsid w:val="00721CA1"/>
    <w:rsid w:val="00727683"/>
    <w:rsid w:val="00727871"/>
    <w:rsid w:val="00727AD2"/>
    <w:rsid w:val="007310D0"/>
    <w:rsid w:val="00733717"/>
    <w:rsid w:val="007340B8"/>
    <w:rsid w:val="00735A14"/>
    <w:rsid w:val="00736682"/>
    <w:rsid w:val="007451F0"/>
    <w:rsid w:val="007535F0"/>
    <w:rsid w:val="00754C24"/>
    <w:rsid w:val="0075751A"/>
    <w:rsid w:val="007605BC"/>
    <w:rsid w:val="00764BCC"/>
    <w:rsid w:val="007658AF"/>
    <w:rsid w:val="00765DD2"/>
    <w:rsid w:val="00784774"/>
    <w:rsid w:val="0079467E"/>
    <w:rsid w:val="007A072A"/>
    <w:rsid w:val="007A0C3E"/>
    <w:rsid w:val="007A137D"/>
    <w:rsid w:val="007A2627"/>
    <w:rsid w:val="007B3961"/>
    <w:rsid w:val="007B3BEF"/>
    <w:rsid w:val="007C3671"/>
    <w:rsid w:val="007C5039"/>
    <w:rsid w:val="007C54FD"/>
    <w:rsid w:val="007D1A7A"/>
    <w:rsid w:val="007D2E8B"/>
    <w:rsid w:val="007D3C14"/>
    <w:rsid w:val="007E4EB0"/>
    <w:rsid w:val="007E5D8B"/>
    <w:rsid w:val="007F3F01"/>
    <w:rsid w:val="007F715E"/>
    <w:rsid w:val="00813E87"/>
    <w:rsid w:val="00814ABB"/>
    <w:rsid w:val="00821CD0"/>
    <w:rsid w:val="00822260"/>
    <w:rsid w:val="00826A87"/>
    <w:rsid w:val="00830054"/>
    <w:rsid w:val="00830906"/>
    <w:rsid w:val="008326AE"/>
    <w:rsid w:val="0083423F"/>
    <w:rsid w:val="008466A1"/>
    <w:rsid w:val="008503C9"/>
    <w:rsid w:val="0085386F"/>
    <w:rsid w:val="00856002"/>
    <w:rsid w:val="008601A0"/>
    <w:rsid w:val="00864112"/>
    <w:rsid w:val="008715F4"/>
    <w:rsid w:val="008728F6"/>
    <w:rsid w:val="00873843"/>
    <w:rsid w:val="008801BE"/>
    <w:rsid w:val="00880C14"/>
    <w:rsid w:val="00883182"/>
    <w:rsid w:val="008836D3"/>
    <w:rsid w:val="00895CE2"/>
    <w:rsid w:val="008A33B7"/>
    <w:rsid w:val="008B0A49"/>
    <w:rsid w:val="008B0D2C"/>
    <w:rsid w:val="008B3FFD"/>
    <w:rsid w:val="008B5951"/>
    <w:rsid w:val="008B7E0D"/>
    <w:rsid w:val="008C0E12"/>
    <w:rsid w:val="008C4B2F"/>
    <w:rsid w:val="008D012C"/>
    <w:rsid w:val="008D34EB"/>
    <w:rsid w:val="008D4A31"/>
    <w:rsid w:val="008D58B6"/>
    <w:rsid w:val="008D5E7C"/>
    <w:rsid w:val="008D69A1"/>
    <w:rsid w:val="008E149B"/>
    <w:rsid w:val="008E4CB6"/>
    <w:rsid w:val="008E4F22"/>
    <w:rsid w:val="008F0307"/>
    <w:rsid w:val="008F3D34"/>
    <w:rsid w:val="008F76F8"/>
    <w:rsid w:val="00902E00"/>
    <w:rsid w:val="00910446"/>
    <w:rsid w:val="00932FF6"/>
    <w:rsid w:val="0094282D"/>
    <w:rsid w:val="009431F5"/>
    <w:rsid w:val="00945480"/>
    <w:rsid w:val="009501C3"/>
    <w:rsid w:val="00971833"/>
    <w:rsid w:val="009756CB"/>
    <w:rsid w:val="00981871"/>
    <w:rsid w:val="0098644B"/>
    <w:rsid w:val="00992C77"/>
    <w:rsid w:val="00993C2E"/>
    <w:rsid w:val="009A0F9F"/>
    <w:rsid w:val="009A2055"/>
    <w:rsid w:val="009A3C21"/>
    <w:rsid w:val="009A3FFC"/>
    <w:rsid w:val="009A42AF"/>
    <w:rsid w:val="009B0436"/>
    <w:rsid w:val="009B3578"/>
    <w:rsid w:val="009C1BF0"/>
    <w:rsid w:val="009C50CB"/>
    <w:rsid w:val="009D25C5"/>
    <w:rsid w:val="009D3D67"/>
    <w:rsid w:val="009E0B7A"/>
    <w:rsid w:val="009E0F78"/>
    <w:rsid w:val="009E2BCE"/>
    <w:rsid w:val="009E5FB9"/>
    <w:rsid w:val="009E62CA"/>
    <w:rsid w:val="009F05A3"/>
    <w:rsid w:val="00A005C9"/>
    <w:rsid w:val="00A01D4C"/>
    <w:rsid w:val="00A032E9"/>
    <w:rsid w:val="00A1017F"/>
    <w:rsid w:val="00A111CA"/>
    <w:rsid w:val="00A11FD5"/>
    <w:rsid w:val="00A13D15"/>
    <w:rsid w:val="00A147CE"/>
    <w:rsid w:val="00A17B5D"/>
    <w:rsid w:val="00A26282"/>
    <w:rsid w:val="00A278F9"/>
    <w:rsid w:val="00A30A0A"/>
    <w:rsid w:val="00A30AC8"/>
    <w:rsid w:val="00A467F8"/>
    <w:rsid w:val="00A55665"/>
    <w:rsid w:val="00A57221"/>
    <w:rsid w:val="00A57318"/>
    <w:rsid w:val="00A574B0"/>
    <w:rsid w:val="00A618F1"/>
    <w:rsid w:val="00A61FC4"/>
    <w:rsid w:val="00A64A75"/>
    <w:rsid w:val="00A7236E"/>
    <w:rsid w:val="00A73A38"/>
    <w:rsid w:val="00A8194B"/>
    <w:rsid w:val="00A85F80"/>
    <w:rsid w:val="00A949E8"/>
    <w:rsid w:val="00AA3D57"/>
    <w:rsid w:val="00AA5E30"/>
    <w:rsid w:val="00AB4D68"/>
    <w:rsid w:val="00AB56D5"/>
    <w:rsid w:val="00AC0B9E"/>
    <w:rsid w:val="00AC5171"/>
    <w:rsid w:val="00AC5B57"/>
    <w:rsid w:val="00AD4D70"/>
    <w:rsid w:val="00AD58EA"/>
    <w:rsid w:val="00AD58EE"/>
    <w:rsid w:val="00AE2062"/>
    <w:rsid w:val="00AE3489"/>
    <w:rsid w:val="00B044E8"/>
    <w:rsid w:val="00B05EAD"/>
    <w:rsid w:val="00B16F11"/>
    <w:rsid w:val="00B20830"/>
    <w:rsid w:val="00B26297"/>
    <w:rsid w:val="00B270BD"/>
    <w:rsid w:val="00B31012"/>
    <w:rsid w:val="00B32049"/>
    <w:rsid w:val="00B36611"/>
    <w:rsid w:val="00B36EB6"/>
    <w:rsid w:val="00B408FE"/>
    <w:rsid w:val="00B476D9"/>
    <w:rsid w:val="00B57506"/>
    <w:rsid w:val="00B61425"/>
    <w:rsid w:val="00B65898"/>
    <w:rsid w:val="00B70EDD"/>
    <w:rsid w:val="00B71A4B"/>
    <w:rsid w:val="00B759C8"/>
    <w:rsid w:val="00B776EF"/>
    <w:rsid w:val="00B80EC3"/>
    <w:rsid w:val="00B82F40"/>
    <w:rsid w:val="00B90E3D"/>
    <w:rsid w:val="00B9416B"/>
    <w:rsid w:val="00BA0814"/>
    <w:rsid w:val="00BA3962"/>
    <w:rsid w:val="00BA4ACD"/>
    <w:rsid w:val="00BA4E9B"/>
    <w:rsid w:val="00BC1168"/>
    <w:rsid w:val="00BC1BB9"/>
    <w:rsid w:val="00BC2CCF"/>
    <w:rsid w:val="00BC37B7"/>
    <w:rsid w:val="00BC6CBA"/>
    <w:rsid w:val="00BD2F99"/>
    <w:rsid w:val="00BD5877"/>
    <w:rsid w:val="00BD7FA2"/>
    <w:rsid w:val="00BE161B"/>
    <w:rsid w:val="00BE551C"/>
    <w:rsid w:val="00BF40E4"/>
    <w:rsid w:val="00C1551B"/>
    <w:rsid w:val="00C15FFD"/>
    <w:rsid w:val="00C20EC7"/>
    <w:rsid w:val="00C23EF5"/>
    <w:rsid w:val="00C240D8"/>
    <w:rsid w:val="00C27E59"/>
    <w:rsid w:val="00C32A59"/>
    <w:rsid w:val="00C37691"/>
    <w:rsid w:val="00C4063F"/>
    <w:rsid w:val="00C40BB3"/>
    <w:rsid w:val="00C422CE"/>
    <w:rsid w:val="00C467E0"/>
    <w:rsid w:val="00C47405"/>
    <w:rsid w:val="00C553BD"/>
    <w:rsid w:val="00C610A8"/>
    <w:rsid w:val="00C6161A"/>
    <w:rsid w:val="00C62B03"/>
    <w:rsid w:val="00C64A74"/>
    <w:rsid w:val="00C66B85"/>
    <w:rsid w:val="00C6787F"/>
    <w:rsid w:val="00C67C18"/>
    <w:rsid w:val="00C71B0B"/>
    <w:rsid w:val="00C76510"/>
    <w:rsid w:val="00C80CA9"/>
    <w:rsid w:val="00C83284"/>
    <w:rsid w:val="00C8508E"/>
    <w:rsid w:val="00C877FB"/>
    <w:rsid w:val="00C9096E"/>
    <w:rsid w:val="00C94060"/>
    <w:rsid w:val="00C96A71"/>
    <w:rsid w:val="00CA0493"/>
    <w:rsid w:val="00CA3BDD"/>
    <w:rsid w:val="00CA7BB0"/>
    <w:rsid w:val="00CC1E51"/>
    <w:rsid w:val="00CD6508"/>
    <w:rsid w:val="00CD74CE"/>
    <w:rsid w:val="00CE4A6F"/>
    <w:rsid w:val="00CE675D"/>
    <w:rsid w:val="00CF41FF"/>
    <w:rsid w:val="00CF420A"/>
    <w:rsid w:val="00CF7147"/>
    <w:rsid w:val="00CF72FE"/>
    <w:rsid w:val="00CF733E"/>
    <w:rsid w:val="00CF7423"/>
    <w:rsid w:val="00D060B4"/>
    <w:rsid w:val="00D07B65"/>
    <w:rsid w:val="00D12A56"/>
    <w:rsid w:val="00D13348"/>
    <w:rsid w:val="00D140E5"/>
    <w:rsid w:val="00D16EE7"/>
    <w:rsid w:val="00D2231D"/>
    <w:rsid w:val="00D2453B"/>
    <w:rsid w:val="00D26E32"/>
    <w:rsid w:val="00D26F00"/>
    <w:rsid w:val="00D32803"/>
    <w:rsid w:val="00D34140"/>
    <w:rsid w:val="00D35BD8"/>
    <w:rsid w:val="00D415AF"/>
    <w:rsid w:val="00D42704"/>
    <w:rsid w:val="00D45BF0"/>
    <w:rsid w:val="00D474E7"/>
    <w:rsid w:val="00D54D85"/>
    <w:rsid w:val="00D5780C"/>
    <w:rsid w:val="00D6091E"/>
    <w:rsid w:val="00D6178C"/>
    <w:rsid w:val="00D72036"/>
    <w:rsid w:val="00D7402B"/>
    <w:rsid w:val="00D75222"/>
    <w:rsid w:val="00D75AC1"/>
    <w:rsid w:val="00D76971"/>
    <w:rsid w:val="00D779B2"/>
    <w:rsid w:val="00D80124"/>
    <w:rsid w:val="00D81BB6"/>
    <w:rsid w:val="00D844AB"/>
    <w:rsid w:val="00D848D7"/>
    <w:rsid w:val="00D90F19"/>
    <w:rsid w:val="00D91313"/>
    <w:rsid w:val="00D9286A"/>
    <w:rsid w:val="00D93596"/>
    <w:rsid w:val="00DA0B6F"/>
    <w:rsid w:val="00DA53F9"/>
    <w:rsid w:val="00DB0F12"/>
    <w:rsid w:val="00DB2FA3"/>
    <w:rsid w:val="00DB3AF2"/>
    <w:rsid w:val="00DB4B76"/>
    <w:rsid w:val="00DB5EC0"/>
    <w:rsid w:val="00DC1A37"/>
    <w:rsid w:val="00DC2DD8"/>
    <w:rsid w:val="00DC4B0F"/>
    <w:rsid w:val="00DC6295"/>
    <w:rsid w:val="00DC6B3B"/>
    <w:rsid w:val="00DD41EA"/>
    <w:rsid w:val="00DD781C"/>
    <w:rsid w:val="00DD7CDD"/>
    <w:rsid w:val="00DE01E4"/>
    <w:rsid w:val="00DE21B4"/>
    <w:rsid w:val="00DE3C41"/>
    <w:rsid w:val="00DE56C7"/>
    <w:rsid w:val="00DE58DA"/>
    <w:rsid w:val="00DE66DE"/>
    <w:rsid w:val="00DF15A2"/>
    <w:rsid w:val="00DF1DC2"/>
    <w:rsid w:val="00DF4002"/>
    <w:rsid w:val="00DF41F5"/>
    <w:rsid w:val="00DF4B7F"/>
    <w:rsid w:val="00DF590D"/>
    <w:rsid w:val="00DF5998"/>
    <w:rsid w:val="00E02216"/>
    <w:rsid w:val="00E02E28"/>
    <w:rsid w:val="00E02F17"/>
    <w:rsid w:val="00E03624"/>
    <w:rsid w:val="00E069F9"/>
    <w:rsid w:val="00E138F6"/>
    <w:rsid w:val="00E15C50"/>
    <w:rsid w:val="00E221AA"/>
    <w:rsid w:val="00E25A6C"/>
    <w:rsid w:val="00E3090B"/>
    <w:rsid w:val="00E31127"/>
    <w:rsid w:val="00E32B78"/>
    <w:rsid w:val="00E355C2"/>
    <w:rsid w:val="00E37B65"/>
    <w:rsid w:val="00E44702"/>
    <w:rsid w:val="00E45065"/>
    <w:rsid w:val="00E52769"/>
    <w:rsid w:val="00E557D6"/>
    <w:rsid w:val="00E62D36"/>
    <w:rsid w:val="00E65366"/>
    <w:rsid w:val="00E6747E"/>
    <w:rsid w:val="00E674D1"/>
    <w:rsid w:val="00E73B37"/>
    <w:rsid w:val="00E82C16"/>
    <w:rsid w:val="00E8571E"/>
    <w:rsid w:val="00E86CE2"/>
    <w:rsid w:val="00E87228"/>
    <w:rsid w:val="00E873F4"/>
    <w:rsid w:val="00E879BE"/>
    <w:rsid w:val="00E92571"/>
    <w:rsid w:val="00E97D2A"/>
    <w:rsid w:val="00EA336E"/>
    <w:rsid w:val="00EA352A"/>
    <w:rsid w:val="00EB1191"/>
    <w:rsid w:val="00EB5BA9"/>
    <w:rsid w:val="00EC0A92"/>
    <w:rsid w:val="00EC2722"/>
    <w:rsid w:val="00EE04D2"/>
    <w:rsid w:val="00EE19C9"/>
    <w:rsid w:val="00EE39FE"/>
    <w:rsid w:val="00EF11E2"/>
    <w:rsid w:val="00EF126A"/>
    <w:rsid w:val="00EF4EF1"/>
    <w:rsid w:val="00EF64F2"/>
    <w:rsid w:val="00F0023F"/>
    <w:rsid w:val="00F04315"/>
    <w:rsid w:val="00F05D3E"/>
    <w:rsid w:val="00F115C3"/>
    <w:rsid w:val="00F130AC"/>
    <w:rsid w:val="00F14EA5"/>
    <w:rsid w:val="00F14EF8"/>
    <w:rsid w:val="00F16412"/>
    <w:rsid w:val="00F23015"/>
    <w:rsid w:val="00F2720C"/>
    <w:rsid w:val="00F3244F"/>
    <w:rsid w:val="00F32571"/>
    <w:rsid w:val="00F3695A"/>
    <w:rsid w:val="00F4722C"/>
    <w:rsid w:val="00F47582"/>
    <w:rsid w:val="00F52377"/>
    <w:rsid w:val="00F56B6B"/>
    <w:rsid w:val="00F6357A"/>
    <w:rsid w:val="00F67896"/>
    <w:rsid w:val="00F708DE"/>
    <w:rsid w:val="00F72291"/>
    <w:rsid w:val="00F76137"/>
    <w:rsid w:val="00F80F12"/>
    <w:rsid w:val="00F82239"/>
    <w:rsid w:val="00F8345A"/>
    <w:rsid w:val="00F92C63"/>
    <w:rsid w:val="00F95011"/>
    <w:rsid w:val="00FA0727"/>
    <w:rsid w:val="00FB310D"/>
    <w:rsid w:val="00FC08CD"/>
    <w:rsid w:val="00FC2C0B"/>
    <w:rsid w:val="00FD48A5"/>
    <w:rsid w:val="00FD4DC2"/>
    <w:rsid w:val="00FD5B46"/>
    <w:rsid w:val="00FE215E"/>
    <w:rsid w:val="00FE2F1A"/>
    <w:rsid w:val="00FE4ADB"/>
    <w:rsid w:val="00FE7774"/>
    <w:rsid w:val="00FE7B9A"/>
    <w:rsid w:val="00FF1D0C"/>
    <w:rsid w:val="00FF374E"/>
    <w:rsid w:val="00FF75D7"/>
    <w:rsid w:val="00FF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8CCDA-F688-4B55-AB47-686FDDA4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72A"/>
  </w:style>
  <w:style w:type="paragraph" w:styleId="Heading1">
    <w:name w:val="heading 1"/>
    <w:basedOn w:val="Normal"/>
    <w:link w:val="Heading1Char"/>
    <w:uiPriority w:val="9"/>
    <w:qFormat/>
    <w:rsid w:val="00662A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2A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1E2"/>
    <w:pPr>
      <w:ind w:left="720"/>
      <w:contextualSpacing/>
    </w:pPr>
  </w:style>
  <w:style w:type="paragraph" w:styleId="NormalWeb">
    <w:name w:val="Normal (Web)"/>
    <w:basedOn w:val="Normal"/>
    <w:uiPriority w:val="99"/>
    <w:unhideWhenUsed/>
    <w:rsid w:val="00D07B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B65"/>
    <w:rPr>
      <w:rFonts w:ascii="Tahoma" w:hAnsi="Tahoma" w:cs="Tahoma"/>
      <w:sz w:val="16"/>
      <w:szCs w:val="16"/>
    </w:rPr>
  </w:style>
  <w:style w:type="character" w:styleId="Hyperlink">
    <w:name w:val="Hyperlink"/>
    <w:basedOn w:val="DefaultParagraphFont"/>
    <w:uiPriority w:val="99"/>
    <w:unhideWhenUsed/>
    <w:rsid w:val="008C4B2F"/>
    <w:rPr>
      <w:color w:val="0000FF"/>
      <w:u w:val="single"/>
    </w:rPr>
  </w:style>
  <w:style w:type="character" w:styleId="Strong">
    <w:name w:val="Strong"/>
    <w:basedOn w:val="DefaultParagraphFont"/>
    <w:uiPriority w:val="22"/>
    <w:qFormat/>
    <w:rsid w:val="008C4B2F"/>
    <w:rPr>
      <w:b/>
      <w:bCs/>
    </w:rPr>
  </w:style>
  <w:style w:type="paragraph" w:styleId="EndnoteText">
    <w:name w:val="endnote text"/>
    <w:basedOn w:val="Normal"/>
    <w:link w:val="EndnoteTextChar"/>
    <w:uiPriority w:val="99"/>
    <w:semiHidden/>
    <w:unhideWhenUsed/>
    <w:rsid w:val="00657C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7CC9"/>
    <w:rPr>
      <w:sz w:val="20"/>
      <w:szCs w:val="20"/>
    </w:rPr>
  </w:style>
  <w:style w:type="character" w:styleId="EndnoteReference">
    <w:name w:val="endnote reference"/>
    <w:basedOn w:val="DefaultParagraphFont"/>
    <w:uiPriority w:val="99"/>
    <w:semiHidden/>
    <w:unhideWhenUsed/>
    <w:rsid w:val="00657CC9"/>
    <w:rPr>
      <w:vertAlign w:val="superscript"/>
    </w:rPr>
  </w:style>
  <w:style w:type="character" w:styleId="Emphasis">
    <w:name w:val="Emphasis"/>
    <w:uiPriority w:val="20"/>
    <w:qFormat/>
    <w:rsid w:val="00DE21B4"/>
    <w:rPr>
      <w:i/>
      <w:iCs/>
    </w:rPr>
  </w:style>
  <w:style w:type="paragraph" w:styleId="FootnoteText">
    <w:name w:val="footnote text"/>
    <w:basedOn w:val="Normal"/>
    <w:link w:val="FootnoteTextChar"/>
    <w:uiPriority w:val="99"/>
    <w:semiHidden/>
    <w:unhideWhenUsed/>
    <w:rsid w:val="00F14E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4EA5"/>
    <w:rPr>
      <w:sz w:val="20"/>
      <w:szCs w:val="20"/>
    </w:rPr>
  </w:style>
  <w:style w:type="character" w:styleId="FootnoteReference">
    <w:name w:val="footnote reference"/>
    <w:basedOn w:val="DefaultParagraphFont"/>
    <w:uiPriority w:val="99"/>
    <w:semiHidden/>
    <w:unhideWhenUsed/>
    <w:rsid w:val="00F14EA5"/>
    <w:rPr>
      <w:vertAlign w:val="superscript"/>
    </w:rPr>
  </w:style>
  <w:style w:type="paragraph" w:styleId="Header">
    <w:name w:val="header"/>
    <w:basedOn w:val="Normal"/>
    <w:link w:val="HeaderChar"/>
    <w:uiPriority w:val="99"/>
    <w:unhideWhenUsed/>
    <w:rsid w:val="00E03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624"/>
  </w:style>
  <w:style w:type="paragraph" w:styleId="Footer">
    <w:name w:val="footer"/>
    <w:basedOn w:val="Normal"/>
    <w:link w:val="FooterChar"/>
    <w:uiPriority w:val="99"/>
    <w:unhideWhenUsed/>
    <w:rsid w:val="00E03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624"/>
  </w:style>
  <w:style w:type="character" w:customStyle="1" w:styleId="Heading1Char">
    <w:name w:val="Heading 1 Char"/>
    <w:basedOn w:val="DefaultParagraphFont"/>
    <w:link w:val="Heading1"/>
    <w:uiPriority w:val="9"/>
    <w:rsid w:val="00662A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2A0C"/>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662A0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62A0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62A0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62A0C"/>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6C0625"/>
    <w:rPr>
      <w:color w:val="605E5C"/>
      <w:shd w:val="clear" w:color="auto" w:fill="E1DFDD"/>
    </w:rPr>
  </w:style>
  <w:style w:type="paragraph" w:customStyle="1" w:styleId="p">
    <w:name w:val="p"/>
    <w:basedOn w:val="Normal"/>
    <w:rsid w:val="00A572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wd-text">
    <w:name w:val="kwd-text"/>
    <w:basedOn w:val="DefaultParagraphFont"/>
    <w:rsid w:val="00A57221"/>
  </w:style>
  <w:style w:type="character" w:customStyle="1" w:styleId="titleheading">
    <w:name w:val="titleheading"/>
    <w:basedOn w:val="DefaultParagraphFont"/>
    <w:rsid w:val="00221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4423">
      <w:bodyDiv w:val="1"/>
      <w:marLeft w:val="0"/>
      <w:marRight w:val="0"/>
      <w:marTop w:val="0"/>
      <w:marBottom w:val="0"/>
      <w:divBdr>
        <w:top w:val="none" w:sz="0" w:space="0" w:color="auto"/>
        <w:left w:val="none" w:sz="0" w:space="0" w:color="auto"/>
        <w:bottom w:val="none" w:sz="0" w:space="0" w:color="auto"/>
        <w:right w:val="none" w:sz="0" w:space="0" w:color="auto"/>
      </w:divBdr>
      <w:divsChild>
        <w:div w:id="1694503016">
          <w:marLeft w:val="0"/>
          <w:marRight w:val="0"/>
          <w:marTop w:val="0"/>
          <w:marBottom w:val="0"/>
          <w:divBdr>
            <w:top w:val="none" w:sz="0" w:space="0" w:color="auto"/>
            <w:left w:val="none" w:sz="0" w:space="0" w:color="auto"/>
            <w:bottom w:val="none" w:sz="0" w:space="0" w:color="auto"/>
            <w:right w:val="none" w:sz="0" w:space="0" w:color="auto"/>
          </w:divBdr>
          <w:divsChild>
            <w:div w:id="312679729">
              <w:marLeft w:val="0"/>
              <w:marRight w:val="0"/>
              <w:marTop w:val="0"/>
              <w:marBottom w:val="0"/>
              <w:divBdr>
                <w:top w:val="none" w:sz="0" w:space="0" w:color="auto"/>
                <w:left w:val="none" w:sz="0" w:space="0" w:color="auto"/>
                <w:bottom w:val="none" w:sz="0" w:space="0" w:color="auto"/>
                <w:right w:val="none" w:sz="0" w:space="0" w:color="auto"/>
              </w:divBdr>
              <w:divsChild>
                <w:div w:id="1909681851">
                  <w:marLeft w:val="0"/>
                  <w:marRight w:val="0"/>
                  <w:marTop w:val="0"/>
                  <w:marBottom w:val="0"/>
                  <w:divBdr>
                    <w:top w:val="none" w:sz="0" w:space="0" w:color="auto"/>
                    <w:left w:val="none" w:sz="0" w:space="0" w:color="auto"/>
                    <w:bottom w:val="none" w:sz="0" w:space="0" w:color="auto"/>
                    <w:right w:val="none" w:sz="0" w:space="0" w:color="auto"/>
                  </w:divBdr>
                  <w:divsChild>
                    <w:div w:id="5174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2894">
      <w:bodyDiv w:val="1"/>
      <w:marLeft w:val="0"/>
      <w:marRight w:val="0"/>
      <w:marTop w:val="0"/>
      <w:marBottom w:val="0"/>
      <w:divBdr>
        <w:top w:val="none" w:sz="0" w:space="0" w:color="auto"/>
        <w:left w:val="none" w:sz="0" w:space="0" w:color="auto"/>
        <w:bottom w:val="none" w:sz="0" w:space="0" w:color="auto"/>
        <w:right w:val="none" w:sz="0" w:space="0" w:color="auto"/>
      </w:divBdr>
      <w:divsChild>
        <w:div w:id="1187331710">
          <w:marLeft w:val="0"/>
          <w:marRight w:val="0"/>
          <w:marTop w:val="0"/>
          <w:marBottom w:val="0"/>
          <w:divBdr>
            <w:top w:val="none" w:sz="0" w:space="0" w:color="auto"/>
            <w:left w:val="none" w:sz="0" w:space="0" w:color="auto"/>
            <w:bottom w:val="none" w:sz="0" w:space="0" w:color="auto"/>
            <w:right w:val="none" w:sz="0" w:space="0" w:color="auto"/>
          </w:divBdr>
          <w:divsChild>
            <w:div w:id="1775974456">
              <w:marLeft w:val="0"/>
              <w:marRight w:val="0"/>
              <w:marTop w:val="0"/>
              <w:marBottom w:val="0"/>
              <w:divBdr>
                <w:top w:val="none" w:sz="0" w:space="0" w:color="auto"/>
                <w:left w:val="none" w:sz="0" w:space="0" w:color="auto"/>
                <w:bottom w:val="none" w:sz="0" w:space="0" w:color="auto"/>
                <w:right w:val="none" w:sz="0" w:space="0" w:color="auto"/>
              </w:divBdr>
              <w:divsChild>
                <w:div w:id="1910118481">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593">
      <w:bodyDiv w:val="1"/>
      <w:marLeft w:val="0"/>
      <w:marRight w:val="0"/>
      <w:marTop w:val="0"/>
      <w:marBottom w:val="0"/>
      <w:divBdr>
        <w:top w:val="none" w:sz="0" w:space="0" w:color="auto"/>
        <w:left w:val="none" w:sz="0" w:space="0" w:color="auto"/>
        <w:bottom w:val="none" w:sz="0" w:space="0" w:color="auto"/>
        <w:right w:val="none" w:sz="0" w:space="0" w:color="auto"/>
      </w:divBdr>
      <w:divsChild>
        <w:div w:id="159417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048392">
      <w:bodyDiv w:val="1"/>
      <w:marLeft w:val="0"/>
      <w:marRight w:val="0"/>
      <w:marTop w:val="0"/>
      <w:marBottom w:val="0"/>
      <w:divBdr>
        <w:top w:val="none" w:sz="0" w:space="0" w:color="auto"/>
        <w:left w:val="none" w:sz="0" w:space="0" w:color="auto"/>
        <w:bottom w:val="none" w:sz="0" w:space="0" w:color="auto"/>
        <w:right w:val="none" w:sz="0" w:space="0" w:color="auto"/>
      </w:divBdr>
      <w:divsChild>
        <w:div w:id="790854539">
          <w:marLeft w:val="0"/>
          <w:marRight w:val="0"/>
          <w:marTop w:val="0"/>
          <w:marBottom w:val="0"/>
          <w:divBdr>
            <w:top w:val="single" w:sz="48" w:space="0" w:color="FFFFFF"/>
            <w:left w:val="none" w:sz="0" w:space="0" w:color="auto"/>
            <w:bottom w:val="single" w:sz="48" w:space="0" w:color="FFFFFF"/>
            <w:right w:val="none" w:sz="0" w:space="0" w:color="auto"/>
          </w:divBdr>
          <w:divsChild>
            <w:div w:id="1513376671">
              <w:marLeft w:val="0"/>
              <w:marRight w:val="0"/>
              <w:marTop w:val="0"/>
              <w:marBottom w:val="0"/>
              <w:divBdr>
                <w:top w:val="none" w:sz="0" w:space="0" w:color="auto"/>
                <w:left w:val="none" w:sz="0" w:space="0" w:color="auto"/>
                <w:bottom w:val="none" w:sz="0" w:space="0" w:color="auto"/>
                <w:right w:val="none" w:sz="0" w:space="0" w:color="auto"/>
              </w:divBdr>
              <w:divsChild>
                <w:div w:id="1696156316">
                  <w:marLeft w:val="0"/>
                  <w:marRight w:val="0"/>
                  <w:marTop w:val="0"/>
                  <w:marBottom w:val="0"/>
                  <w:divBdr>
                    <w:top w:val="none" w:sz="0" w:space="0" w:color="auto"/>
                    <w:left w:val="none" w:sz="0" w:space="0" w:color="auto"/>
                    <w:bottom w:val="none" w:sz="0" w:space="0" w:color="auto"/>
                    <w:right w:val="none" w:sz="0" w:space="0" w:color="auto"/>
                  </w:divBdr>
                  <w:divsChild>
                    <w:div w:id="646282348">
                      <w:marLeft w:val="0"/>
                      <w:marRight w:val="0"/>
                      <w:marTop w:val="0"/>
                      <w:marBottom w:val="0"/>
                      <w:divBdr>
                        <w:top w:val="none" w:sz="0" w:space="0" w:color="auto"/>
                        <w:left w:val="none" w:sz="0" w:space="0" w:color="auto"/>
                        <w:bottom w:val="none" w:sz="0" w:space="0" w:color="auto"/>
                        <w:right w:val="none" w:sz="0" w:space="0" w:color="auto"/>
                      </w:divBdr>
                      <w:divsChild>
                        <w:div w:id="285354501">
                          <w:marLeft w:val="0"/>
                          <w:marRight w:val="0"/>
                          <w:marTop w:val="0"/>
                          <w:marBottom w:val="0"/>
                          <w:divBdr>
                            <w:top w:val="none" w:sz="0" w:space="0" w:color="auto"/>
                            <w:left w:val="none" w:sz="0" w:space="0" w:color="auto"/>
                            <w:bottom w:val="none" w:sz="0" w:space="0" w:color="auto"/>
                            <w:right w:val="none" w:sz="0" w:space="0" w:color="auto"/>
                          </w:divBdr>
                          <w:divsChild>
                            <w:div w:id="1737360685">
                              <w:marLeft w:val="0"/>
                              <w:marRight w:val="0"/>
                              <w:marTop w:val="0"/>
                              <w:marBottom w:val="0"/>
                              <w:divBdr>
                                <w:top w:val="none" w:sz="0" w:space="0" w:color="auto"/>
                                <w:left w:val="none" w:sz="0" w:space="0" w:color="auto"/>
                                <w:bottom w:val="none" w:sz="0" w:space="0" w:color="auto"/>
                                <w:right w:val="none" w:sz="0" w:space="0" w:color="auto"/>
                              </w:divBdr>
                              <w:divsChild>
                                <w:div w:id="901059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354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667526">
                                  <w:blockQuote w:val="1"/>
                                  <w:marLeft w:val="720"/>
                                  <w:marRight w:val="720"/>
                                  <w:marTop w:val="100"/>
                                  <w:marBottom w:val="100"/>
                                  <w:divBdr>
                                    <w:top w:val="none" w:sz="0" w:space="0" w:color="auto"/>
                                    <w:left w:val="none" w:sz="0" w:space="0" w:color="auto"/>
                                    <w:bottom w:val="none" w:sz="0" w:space="0" w:color="auto"/>
                                    <w:right w:val="none" w:sz="0" w:space="0" w:color="auto"/>
                                  </w:divBdr>
                                </w:div>
                                <w:div w:id="824011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958913">
      <w:bodyDiv w:val="1"/>
      <w:marLeft w:val="0"/>
      <w:marRight w:val="0"/>
      <w:marTop w:val="0"/>
      <w:marBottom w:val="0"/>
      <w:divBdr>
        <w:top w:val="none" w:sz="0" w:space="0" w:color="auto"/>
        <w:left w:val="none" w:sz="0" w:space="0" w:color="auto"/>
        <w:bottom w:val="none" w:sz="0" w:space="0" w:color="auto"/>
        <w:right w:val="none" w:sz="0" w:space="0" w:color="auto"/>
      </w:divBdr>
    </w:div>
    <w:div w:id="1040782009">
      <w:bodyDiv w:val="1"/>
      <w:marLeft w:val="0"/>
      <w:marRight w:val="0"/>
      <w:marTop w:val="0"/>
      <w:marBottom w:val="0"/>
      <w:divBdr>
        <w:top w:val="none" w:sz="0" w:space="0" w:color="auto"/>
        <w:left w:val="none" w:sz="0" w:space="0" w:color="auto"/>
        <w:bottom w:val="none" w:sz="0" w:space="0" w:color="auto"/>
        <w:right w:val="none" w:sz="0" w:space="0" w:color="auto"/>
      </w:divBdr>
      <w:divsChild>
        <w:div w:id="297103319">
          <w:marLeft w:val="0"/>
          <w:marRight w:val="0"/>
          <w:marTop w:val="0"/>
          <w:marBottom w:val="0"/>
          <w:divBdr>
            <w:top w:val="none" w:sz="0" w:space="0" w:color="auto"/>
            <w:left w:val="none" w:sz="0" w:space="0" w:color="auto"/>
            <w:bottom w:val="none" w:sz="0" w:space="0" w:color="auto"/>
            <w:right w:val="none" w:sz="0" w:space="0" w:color="auto"/>
          </w:divBdr>
          <w:divsChild>
            <w:div w:id="868882266">
              <w:marLeft w:val="0"/>
              <w:marRight w:val="0"/>
              <w:marTop w:val="0"/>
              <w:marBottom w:val="0"/>
              <w:divBdr>
                <w:top w:val="none" w:sz="0" w:space="0" w:color="auto"/>
                <w:left w:val="none" w:sz="0" w:space="0" w:color="auto"/>
                <w:bottom w:val="none" w:sz="0" w:space="0" w:color="auto"/>
                <w:right w:val="none" w:sz="0" w:space="0" w:color="auto"/>
              </w:divBdr>
            </w:div>
            <w:div w:id="1896815965">
              <w:marLeft w:val="0"/>
              <w:marRight w:val="0"/>
              <w:marTop w:val="0"/>
              <w:marBottom w:val="0"/>
              <w:divBdr>
                <w:top w:val="none" w:sz="0" w:space="0" w:color="auto"/>
                <w:left w:val="none" w:sz="0" w:space="0" w:color="auto"/>
                <w:bottom w:val="none" w:sz="0" w:space="0" w:color="auto"/>
                <w:right w:val="none" w:sz="0" w:space="0" w:color="auto"/>
              </w:divBdr>
            </w:div>
          </w:divsChild>
        </w:div>
        <w:div w:id="1070470387">
          <w:marLeft w:val="0"/>
          <w:marRight w:val="0"/>
          <w:marTop w:val="0"/>
          <w:marBottom w:val="0"/>
          <w:divBdr>
            <w:top w:val="none" w:sz="0" w:space="0" w:color="auto"/>
            <w:left w:val="none" w:sz="0" w:space="0" w:color="auto"/>
            <w:bottom w:val="none" w:sz="0" w:space="0" w:color="auto"/>
            <w:right w:val="none" w:sz="0" w:space="0" w:color="auto"/>
          </w:divBdr>
        </w:div>
      </w:divsChild>
    </w:div>
    <w:div w:id="1249849680">
      <w:bodyDiv w:val="1"/>
      <w:marLeft w:val="0"/>
      <w:marRight w:val="0"/>
      <w:marTop w:val="0"/>
      <w:marBottom w:val="0"/>
      <w:divBdr>
        <w:top w:val="none" w:sz="0" w:space="0" w:color="auto"/>
        <w:left w:val="none" w:sz="0" w:space="0" w:color="auto"/>
        <w:bottom w:val="none" w:sz="0" w:space="0" w:color="auto"/>
        <w:right w:val="none" w:sz="0" w:space="0" w:color="auto"/>
      </w:divBdr>
      <w:divsChild>
        <w:div w:id="1674145868">
          <w:marLeft w:val="0"/>
          <w:marRight w:val="0"/>
          <w:marTop w:val="0"/>
          <w:marBottom w:val="0"/>
          <w:divBdr>
            <w:top w:val="none" w:sz="0" w:space="0" w:color="auto"/>
            <w:left w:val="none" w:sz="0" w:space="0" w:color="auto"/>
            <w:bottom w:val="none" w:sz="0" w:space="0" w:color="auto"/>
            <w:right w:val="none" w:sz="0" w:space="0" w:color="auto"/>
          </w:divBdr>
          <w:divsChild>
            <w:div w:id="453520701">
              <w:marLeft w:val="0"/>
              <w:marRight w:val="0"/>
              <w:marTop w:val="0"/>
              <w:marBottom w:val="0"/>
              <w:divBdr>
                <w:top w:val="none" w:sz="0" w:space="0" w:color="auto"/>
                <w:left w:val="none" w:sz="0" w:space="0" w:color="auto"/>
                <w:bottom w:val="none" w:sz="0" w:space="0" w:color="auto"/>
                <w:right w:val="none" w:sz="0" w:space="0" w:color="auto"/>
              </w:divBdr>
              <w:divsChild>
                <w:div w:id="495152169">
                  <w:marLeft w:val="0"/>
                  <w:marRight w:val="0"/>
                  <w:marTop w:val="0"/>
                  <w:marBottom w:val="0"/>
                  <w:divBdr>
                    <w:top w:val="none" w:sz="0" w:space="0" w:color="auto"/>
                    <w:left w:val="none" w:sz="0" w:space="0" w:color="auto"/>
                    <w:bottom w:val="none" w:sz="0" w:space="0" w:color="auto"/>
                    <w:right w:val="none" w:sz="0" w:space="0" w:color="auto"/>
                  </w:divBdr>
                  <w:divsChild>
                    <w:div w:id="4336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40325">
              <w:marLeft w:val="0"/>
              <w:marRight w:val="0"/>
              <w:marTop w:val="0"/>
              <w:marBottom w:val="0"/>
              <w:divBdr>
                <w:top w:val="none" w:sz="0" w:space="0" w:color="auto"/>
                <w:left w:val="none" w:sz="0" w:space="0" w:color="auto"/>
                <w:bottom w:val="none" w:sz="0" w:space="0" w:color="auto"/>
                <w:right w:val="none" w:sz="0" w:space="0" w:color="auto"/>
              </w:divBdr>
              <w:divsChild>
                <w:div w:id="2082438975">
                  <w:marLeft w:val="0"/>
                  <w:marRight w:val="0"/>
                  <w:marTop w:val="0"/>
                  <w:marBottom w:val="0"/>
                  <w:divBdr>
                    <w:top w:val="none" w:sz="0" w:space="0" w:color="auto"/>
                    <w:left w:val="none" w:sz="0" w:space="0" w:color="auto"/>
                    <w:bottom w:val="none" w:sz="0" w:space="0" w:color="auto"/>
                    <w:right w:val="none" w:sz="0" w:space="0" w:color="auto"/>
                  </w:divBdr>
                </w:div>
                <w:div w:id="9200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05388">
      <w:bodyDiv w:val="1"/>
      <w:marLeft w:val="0"/>
      <w:marRight w:val="0"/>
      <w:marTop w:val="0"/>
      <w:marBottom w:val="0"/>
      <w:divBdr>
        <w:top w:val="none" w:sz="0" w:space="0" w:color="auto"/>
        <w:left w:val="none" w:sz="0" w:space="0" w:color="auto"/>
        <w:bottom w:val="none" w:sz="0" w:space="0" w:color="auto"/>
        <w:right w:val="none" w:sz="0" w:space="0" w:color="auto"/>
      </w:divBdr>
      <w:divsChild>
        <w:div w:id="393966132">
          <w:marLeft w:val="0"/>
          <w:marRight w:val="0"/>
          <w:marTop w:val="0"/>
          <w:marBottom w:val="0"/>
          <w:divBdr>
            <w:top w:val="none" w:sz="0" w:space="0" w:color="auto"/>
            <w:left w:val="none" w:sz="0" w:space="0" w:color="auto"/>
            <w:bottom w:val="none" w:sz="0" w:space="0" w:color="auto"/>
            <w:right w:val="none" w:sz="0" w:space="0" w:color="auto"/>
          </w:divBdr>
          <w:divsChild>
            <w:div w:id="843130726">
              <w:marLeft w:val="0"/>
              <w:marRight w:val="0"/>
              <w:marTop w:val="0"/>
              <w:marBottom w:val="0"/>
              <w:divBdr>
                <w:top w:val="none" w:sz="0" w:space="0" w:color="auto"/>
                <w:left w:val="none" w:sz="0" w:space="0" w:color="auto"/>
                <w:bottom w:val="none" w:sz="0" w:space="0" w:color="auto"/>
                <w:right w:val="none" w:sz="0" w:space="0" w:color="auto"/>
              </w:divBdr>
              <w:divsChild>
                <w:div w:id="1849444965">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cbi.nlm.nih.gov/pmc/articles/PMC4734796/"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cbi.nlm.nih.gov/pmc/articles/PMC4734796/"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sciforschenonline.org/journals/clinical-research/CLROA-2-110.php" TargetMode="External"/><Relationship Id="rId3" Type="http://schemas.openxmlformats.org/officeDocument/2006/relationships/hyperlink" Target="https://www.ncbi.nlm.nih.gov/pmc/articles/PMC4482824/" TargetMode="External"/><Relationship Id="rId7" Type="http://schemas.openxmlformats.org/officeDocument/2006/relationships/hyperlink" Target="https://www.ncbi.nlm.nih.gov/pmc/articles/PMC4482824/" TargetMode="External"/><Relationship Id="rId2" Type="http://schemas.openxmlformats.org/officeDocument/2006/relationships/hyperlink" Target="https://www.prohealth.com/library/the-functional-capacity-evaluation-fce-and-your-disability-insurance-benefits-33900" TargetMode="External"/><Relationship Id="rId1" Type="http://schemas.openxmlformats.org/officeDocument/2006/relationships/hyperlink" Target="http://www.fmnetnews.com/wp_content/uploads/disabilityfibroversionjuly2207.pdf" TargetMode="External"/><Relationship Id="rId6" Type="http://schemas.openxmlformats.org/officeDocument/2006/relationships/hyperlink" Target="https://www.ncbi.nlm.nih.gov/pmc/articles/PMC4734796/" TargetMode="External"/><Relationship Id="rId5" Type="http://schemas.openxmlformats.org/officeDocument/2006/relationships/hyperlink" Target="https://www.ncbi.nlm.nih.gov/m/pubmed/23527651" TargetMode="External"/><Relationship Id="rId10" Type="http://schemas.openxmlformats.org/officeDocument/2006/relationships/hyperlink" Target="https://prevention.nih.gov/docs/programs/mecfs/ODP-P2P-MECFS-FinalReport.pdf" TargetMode="External"/><Relationship Id="rId4" Type="http://schemas.openxmlformats.org/officeDocument/2006/relationships/hyperlink" Target="http://neuroimmune.cornell.edu/research/physiology/" TargetMode="External"/><Relationship Id="rId9" Type="http://schemas.openxmlformats.org/officeDocument/2006/relationships/hyperlink" Target="http://www.ncf-net.org/library/s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0E8F5-DEB4-4BFE-800C-CA05403C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3395</Words>
  <Characters>19355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Marilyn Simon-Gersuk</cp:lastModifiedBy>
  <cp:revision>2</cp:revision>
  <cp:lastPrinted>2018-07-27T19:20:00Z</cp:lastPrinted>
  <dcterms:created xsi:type="dcterms:W3CDTF">2018-07-28T00:36:00Z</dcterms:created>
  <dcterms:modified xsi:type="dcterms:W3CDTF">2018-07-28T00:36:00Z</dcterms:modified>
</cp:coreProperties>
</file>